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3.xml" ContentType="application/vnd.openxmlformats-officedocument.drawingml.chartshapes+xml"/>
  <Override PartName="/word/charts/chart14.xml" ContentType="application/vnd.openxmlformats-officedocument.drawingml.chart+xml"/>
  <Override PartName="/word/drawings/drawing4.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C1" w:rsidRDefault="00130D4E">
      <w:pPr>
        <w:spacing w:after="200" w:line="276" w:lineRule="auto"/>
        <w:jc w:val="left"/>
        <w:rPr>
          <w:rFonts w:ascii="Georgia" w:eastAsia="MS Mincho" w:hAnsi="Georgia"/>
        </w:rPr>
      </w:pPr>
      <w:r>
        <w:rPr>
          <w:noProof/>
        </w:rPr>
        <mc:AlternateContent>
          <mc:Choice Requires="wps">
            <w:drawing>
              <wp:anchor distT="0" distB="0" distL="114300" distR="114300" simplePos="0" relativeHeight="251672064" behindDoc="1" locked="0" layoutInCell="1" allowOverlap="1" wp14:anchorId="2C68061B" wp14:editId="2DBF14EC">
                <wp:simplePos x="0" y="0"/>
                <wp:positionH relativeFrom="column">
                  <wp:posOffset>-920750</wp:posOffset>
                </wp:positionH>
                <wp:positionV relativeFrom="margin">
                  <wp:posOffset>5236210</wp:posOffset>
                </wp:positionV>
                <wp:extent cx="8238490" cy="173355"/>
                <wp:effectExtent l="12700" t="6985" r="6985" b="1016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8490" cy="17335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72.5pt;margin-top:412.3pt;width:648.7pt;height:13.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" strokecolor="white">
                <w10:wrap anchory="margin"/>
              </v:rect>
            </w:pict>
          </mc:Fallback>
        </mc:AlternateContent>
      </w:r>
      <w:r>
        <w:rPr>
          <w:rFonts w:ascii="Times New Roman" w:eastAsia="Calibri" w:hAnsi="Times New Roman"/>
          <w:noProof/>
          <w:sz w:val="24"/>
        </w:rPr>
        <mc:AlternateContent>
          <mc:Choice Requires="wps">
            <w:drawing>
              <wp:anchor distT="0" distB="0" distL="114300" distR="114300" simplePos="0" relativeHeight="251668992" behindDoc="0" locked="0" layoutInCell="1" allowOverlap="0" wp14:anchorId="169276C8" wp14:editId="0BE3905B">
                <wp:simplePos x="0" y="0"/>
                <wp:positionH relativeFrom="page">
                  <wp:posOffset>731520</wp:posOffset>
                </wp:positionH>
                <wp:positionV relativeFrom="page">
                  <wp:posOffset>2286000</wp:posOffset>
                </wp:positionV>
                <wp:extent cx="6373495" cy="1938655"/>
                <wp:effectExtent l="0" t="0" r="0" b="4445"/>
                <wp:wrapSquare wrapText="bothSides"/>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3495" cy="1938655"/>
                        </a:xfrm>
                        <a:prstGeom prst="rect">
                          <a:avLst/>
                        </a:prstGeom>
                        <a:noFill/>
                        <a:ln>
                          <a:noFill/>
                        </a:ln>
                        <a:effectLst/>
                        <a:extLst>
                          <a:ext uri="{C572A759-6A51-4108-AA02-DFA0A04FC94B}"/>
                        </a:extLst>
                      </wps:spPr>
                      <wps:txbx>
                        <w:txbxContent>
                          <w:p w:rsidR="006D58CF" w:rsidRPr="002114E7" w:rsidRDefault="006D58CF" w:rsidP="00BC4EC1">
                            <w:pPr>
                              <w:pStyle w:val="Authors"/>
                              <w:spacing w:after="600"/>
                              <w:rPr>
                                <w:rFonts w:ascii="Georgia" w:eastAsia="Calibri" w:hAnsi="Georgia"/>
                                <w:i/>
                                <w:smallCaps w:val="0"/>
                                <w:color w:val="FFFFFF"/>
                                <w:sz w:val="52"/>
                                <w:szCs w:val="60"/>
                              </w:rPr>
                            </w:pPr>
                            <w:r w:rsidRPr="002114E7">
                              <w:rPr>
                                <w:rFonts w:ascii="Georgia" w:eastAsia="Calibri" w:hAnsi="Georgia"/>
                                <w:i/>
                                <w:smallCaps w:val="0"/>
                                <w:color w:val="FFFFFF"/>
                                <w:sz w:val="52"/>
                                <w:szCs w:val="60"/>
                              </w:rPr>
                              <w:t>Ten Years of Language Access in Washington, DC</w:t>
                            </w:r>
                          </w:p>
                          <w:p w:rsidR="006D58CF" w:rsidRPr="002114E7" w:rsidRDefault="006D58CF" w:rsidP="00BC4EC1">
                            <w:pPr>
                              <w:pStyle w:val="Authors"/>
                              <w:rPr>
                                <w:color w:val="FFFFFF"/>
                              </w:rPr>
                            </w:pPr>
                            <w:r w:rsidRPr="002114E7">
                              <w:rPr>
                                <w:color w:val="FFFFFF"/>
                              </w:rPr>
                              <w:t>Hamutal Bernstein, Julia Gelatt</w:t>
                            </w:r>
                            <w:r>
                              <w:rPr>
                                <w:color w:val="FFFFFF"/>
                              </w:rPr>
                              <w:t xml:space="preserve">, </w:t>
                            </w:r>
                            <w:r w:rsidRPr="002114E7">
                              <w:rPr>
                                <w:color w:val="FFFFFF"/>
                              </w:rPr>
                              <w:t>Devlin Hanson,</w:t>
                            </w:r>
                            <w:r>
                              <w:rPr>
                                <w:color w:val="FFFFFF"/>
                              </w:rPr>
                              <w:t xml:space="preserve"> and </w:t>
                            </w:r>
                            <w:r w:rsidRPr="007B7F28">
                              <w:rPr>
                                <w:color w:val="FFFFFF"/>
                              </w:rPr>
                              <w:t>Will</w:t>
                            </w:r>
                            <w:r w:rsidR="00C57E1B">
                              <w:rPr>
                                <w:color w:val="FFFFFF"/>
                              </w:rPr>
                              <w:t>iam</w:t>
                            </w:r>
                            <w:r>
                              <w:rPr>
                                <w:color w:val="FFFFFF"/>
                              </w:rPr>
                              <w:t xml:space="preserve"> Monson</w:t>
                            </w:r>
                          </w:p>
                          <w:p w:rsidR="006D58CF" w:rsidRPr="002114E7" w:rsidRDefault="006D58CF" w:rsidP="00BC4EC1">
                            <w:pPr>
                              <w:pStyle w:val="Covertext"/>
                            </w:pPr>
                            <w:r w:rsidRPr="002114E7">
                              <w:t>April 2014</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7.6pt;margin-top:180pt;width:501.85pt;height:152.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" o:allowoverlap="f" filled="f" stroked="f">
                <v:path arrowok="t"/>
                <v:textbox inset="0">
                  <w:txbxContent>
                    <w:p w:rsidR="006D58CF" w:rsidRPr="002114E7" w:rsidRDefault="006D58CF" w:rsidP="00BC4EC1">
                      <w:pPr>
                        <w:pStyle w:val="Authors"/>
                        <w:spacing w:after="600"/>
                        <w:rPr>
                          <w:rFonts w:ascii="Georgia" w:eastAsia="Calibri" w:hAnsi="Georgia"/>
                          <w:i/>
                          <w:smallCaps w:val="0"/>
                          <w:color w:val="FFFFFF"/>
                          <w:sz w:val="52"/>
                          <w:szCs w:val="60"/>
                        </w:rPr>
                      </w:pPr>
                      <w:r w:rsidRPr="002114E7">
                        <w:rPr>
                          <w:rFonts w:ascii="Georgia" w:eastAsia="Calibri" w:hAnsi="Georgia"/>
                          <w:i/>
                          <w:smallCaps w:val="0"/>
                          <w:color w:val="FFFFFF"/>
                          <w:sz w:val="52"/>
                          <w:szCs w:val="60"/>
                        </w:rPr>
                        <w:t>Ten Years of Language Access in Washington, DC</w:t>
                      </w:r>
                    </w:p>
                    <w:p w:rsidR="006D58CF" w:rsidRPr="002114E7" w:rsidRDefault="006D58CF" w:rsidP="00BC4EC1">
                      <w:pPr>
                        <w:pStyle w:val="Authors"/>
                        <w:rPr>
                          <w:color w:val="FFFFFF"/>
                        </w:rPr>
                      </w:pPr>
                      <w:r w:rsidRPr="002114E7">
                        <w:rPr>
                          <w:color w:val="FFFFFF"/>
                        </w:rPr>
                        <w:t>Hamutal Bernstein, Julia Gelatt</w:t>
                      </w:r>
                      <w:r>
                        <w:rPr>
                          <w:color w:val="FFFFFF"/>
                        </w:rPr>
                        <w:t xml:space="preserve">, </w:t>
                      </w:r>
                      <w:r w:rsidRPr="002114E7">
                        <w:rPr>
                          <w:color w:val="FFFFFF"/>
                        </w:rPr>
                        <w:t>Devlin Hanson,</w:t>
                      </w:r>
                      <w:r>
                        <w:rPr>
                          <w:color w:val="FFFFFF"/>
                        </w:rPr>
                        <w:t xml:space="preserve"> and </w:t>
                      </w:r>
                      <w:r w:rsidRPr="007B7F28">
                        <w:rPr>
                          <w:color w:val="FFFFFF"/>
                        </w:rPr>
                        <w:t>Will</w:t>
                      </w:r>
                      <w:r w:rsidR="00C57E1B">
                        <w:rPr>
                          <w:color w:val="FFFFFF"/>
                        </w:rPr>
                        <w:t>iam</w:t>
                      </w:r>
                      <w:r>
                        <w:rPr>
                          <w:color w:val="FFFFFF"/>
                        </w:rPr>
                        <w:t xml:space="preserve"> Monson</w:t>
                      </w:r>
                    </w:p>
                    <w:p w:rsidR="006D58CF" w:rsidRPr="002114E7" w:rsidRDefault="006D58CF" w:rsidP="00BC4EC1">
                      <w:pPr>
                        <w:pStyle w:val="Covertext"/>
                      </w:pPr>
                      <w:r w:rsidRPr="002114E7">
                        <w:t>April 2014</w:t>
                      </w:r>
                    </w:p>
                  </w:txbxContent>
                </v:textbox>
                <w10:wrap type="square" anchorx="page" anchory="page"/>
              </v:shape>
            </w:pict>
          </mc:Fallback>
        </mc:AlternateContent>
      </w:r>
      <w:r>
        <w:rPr>
          <w:noProof/>
        </w:rPr>
        <mc:AlternateContent>
          <mc:Choice Requires="wps">
            <w:drawing>
              <wp:anchor distT="0" distB="0" distL="114300" distR="114300" simplePos="0" relativeHeight="251670016" behindDoc="1" locked="0" layoutInCell="1" allowOverlap="1" wp14:anchorId="3425A14A" wp14:editId="22A9707F">
                <wp:simplePos x="0" y="0"/>
                <wp:positionH relativeFrom="column">
                  <wp:posOffset>-920750</wp:posOffset>
                </wp:positionH>
                <wp:positionV relativeFrom="paragraph">
                  <wp:posOffset>-942340</wp:posOffset>
                </wp:positionV>
                <wp:extent cx="7965440" cy="10166350"/>
                <wp:effectExtent l="0" t="0" r="0"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5440" cy="10166350"/>
                        </a:xfrm>
                        <a:prstGeom prst="rect">
                          <a:avLst/>
                        </a:prstGeom>
                        <a:solidFill>
                          <a:srgbClr val="2CAC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1" o:spid="_x0000_s1026" style="position:absolute;margin-left:-72.5pt;margin-top:-74.2pt;width:627.2pt;height:8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" fillcolor="#2cace3" stroked="f" strokeweight="2pt">
                <v:path arrowok="t"/>
              </v:rect>
            </w:pict>
          </mc:Fallback>
        </mc:AlternateContent>
      </w:r>
      <w:r w:rsidR="00BC4EC1">
        <w:br w:type="page"/>
      </w:r>
      <w:r>
        <w:rPr>
          <w:noProof/>
        </w:rPr>
        <w:drawing>
          <wp:anchor distT="0" distB="0" distL="114300" distR="114300" simplePos="0" relativeHeight="251671040" behindDoc="0" locked="0" layoutInCell="1" allowOverlap="1" wp14:anchorId="594D7F18" wp14:editId="0D119616">
            <wp:simplePos x="0" y="0"/>
            <wp:positionH relativeFrom="page">
              <wp:posOffset>731520</wp:posOffset>
            </wp:positionH>
            <wp:positionV relativeFrom="page">
              <wp:posOffset>8686800</wp:posOffset>
            </wp:positionV>
            <wp:extent cx="1947545" cy="530225"/>
            <wp:effectExtent l="0" t="0" r="0" b="3175"/>
            <wp:wrapTopAndBottom/>
            <wp:docPr id="27" name="Picture 1" descr="UI1_VOL12:Centers:Comm:Share:GRAPHICS:Logos:logos and icons:Logos:Horizontal Logos:UrbanInstitute-logo_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1_VOL12:Centers:Comm:Share:GRAPHICS:Logos:logos and icons:Logos:Horizontal Logos:UrbanInstitute-logo_white-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530225"/>
                    </a:xfrm>
                    <a:prstGeom prst="rect">
                      <a:avLst/>
                    </a:prstGeom>
                    <a:noFill/>
                  </pic:spPr>
                </pic:pic>
              </a:graphicData>
            </a:graphic>
            <wp14:sizeRelH relativeFrom="page">
              <wp14:pctWidth>0</wp14:pctWidth>
            </wp14:sizeRelH>
            <wp14:sizeRelV relativeFrom="page">
              <wp14:pctHeight>0</wp14:pctHeight>
            </wp14:sizeRelV>
          </wp:anchor>
        </w:drawing>
      </w:r>
    </w:p>
    <w:p w:rsidR="006D58CF" w:rsidRDefault="006D58CF" w:rsidP="006D58CF">
      <w:pPr>
        <w:pStyle w:val="Boilerplate"/>
        <w:spacing w:before="7200"/>
      </w:pPr>
    </w:p>
    <w:p w:rsidR="00460F3A" w:rsidRPr="00460F3A" w:rsidRDefault="00460F3A" w:rsidP="00460F3A">
      <w:pPr>
        <w:pStyle w:val="Heading2"/>
      </w:pPr>
      <w:bookmarkStart w:id="0" w:name="_Toc384741704"/>
      <w:r w:rsidRPr="00460F3A">
        <w:t>Acknowledgments</w:t>
      </w:r>
      <w:bookmarkEnd w:id="0"/>
      <w:r w:rsidRPr="00460F3A">
        <w:t xml:space="preserve"> </w:t>
      </w:r>
    </w:p>
    <w:p w:rsidR="00460F3A" w:rsidRPr="00460F3A" w:rsidRDefault="00460F3A" w:rsidP="00460F3A">
      <w:pPr>
        <w:pStyle w:val="Boilerplate"/>
      </w:pPr>
      <w:r w:rsidRPr="00460F3A">
        <w:t xml:space="preserve">We thank the interviewees who generously gave their time to talk with us. We are grateful to all of these individuals for sharing their experiences and expertise with us. </w:t>
      </w:r>
    </w:p>
    <w:p w:rsidR="00460F3A" w:rsidRPr="00460F3A" w:rsidRDefault="00460F3A" w:rsidP="00460F3A">
      <w:pPr>
        <w:pStyle w:val="Boilerplate"/>
      </w:pPr>
      <w:r w:rsidRPr="00460F3A">
        <w:t xml:space="preserve">The authors are also grateful to Heather </w:t>
      </w:r>
      <w:proofErr w:type="spellStart"/>
      <w:r w:rsidRPr="00460F3A">
        <w:t>Koball</w:t>
      </w:r>
      <w:proofErr w:type="spellEnd"/>
      <w:r w:rsidRPr="00460F3A">
        <w:t>, Peter Tatian</w:t>
      </w:r>
      <w:r>
        <w:t>,</w:t>
      </w:r>
      <w:r w:rsidRPr="00460F3A">
        <w:t xml:space="preserve"> and DC OHR for their thoughtful comments on earlier versions of this paper. </w:t>
      </w:r>
    </w:p>
    <w:p w:rsidR="00460F3A" w:rsidRPr="00460F3A" w:rsidRDefault="00460F3A" w:rsidP="00460F3A">
      <w:pPr>
        <w:pStyle w:val="Boilerplate"/>
      </w:pPr>
      <w:r w:rsidRPr="00460F3A">
        <w:t>Thank you also to our colleagues at the Urban Institute who provided extraordinary research and editorial support: Lina Breslav and Fiona Blackshaw.</w:t>
      </w:r>
    </w:p>
    <w:p w:rsidR="00460F3A" w:rsidRPr="00460F3A" w:rsidRDefault="00460F3A" w:rsidP="00460F3A">
      <w:pPr>
        <w:pStyle w:val="Boilerplate"/>
      </w:pPr>
      <w:r w:rsidRPr="00460F3A">
        <w:t xml:space="preserve">This paper was written with support from the District of Columbia Office of Human Rights. </w:t>
      </w:r>
    </w:p>
    <w:p w:rsidR="00BC4EC1" w:rsidRPr="006D58CF" w:rsidRDefault="00BC4EC1" w:rsidP="00460F3A">
      <w:pPr>
        <w:pStyle w:val="Boilerplate"/>
      </w:pPr>
      <w:r w:rsidRPr="006D58CF">
        <w:t>Copyright © 2014. The Urban Institute. Permission is granted for reproduction of this file, with attribution to the Urban Institute.</w:t>
      </w:r>
    </w:p>
    <w:p w:rsidR="00BC4EC1" w:rsidRPr="006D58CF" w:rsidRDefault="00BC4EC1" w:rsidP="00460F3A">
      <w:pPr>
        <w:pStyle w:val="Boilerplate"/>
      </w:pPr>
      <w:r w:rsidRPr="006D58CF">
        <w:t xml:space="preserve">The nonpartisan Urban Institute publishes studies, reports, and books on timely topics worthy of public consideration. The views expressed are those of the authors and should not be attributed to the Urban Institute, its trustees, or its funders. </w:t>
      </w:r>
    </w:p>
    <w:p w:rsidR="00BC4EC1" w:rsidRDefault="00BC4EC1" w:rsidP="00460F3A">
      <w:pPr>
        <w:pStyle w:val="Boilerplate"/>
      </w:pPr>
      <w:r>
        <w:br w:type="page"/>
      </w:r>
    </w:p>
    <w:p w:rsidR="00BC4EC1" w:rsidRDefault="00BC4EC1" w:rsidP="00BC4EC1">
      <w:pPr>
        <w:pStyle w:val="Heading1"/>
      </w:pPr>
      <w:bookmarkStart w:id="1" w:name="_Toc258456714"/>
      <w:bookmarkStart w:id="2" w:name="_Toc384741705"/>
      <w:r>
        <w:lastRenderedPageBreak/>
        <w:t>Contents</w:t>
      </w:r>
      <w:bookmarkEnd w:id="1"/>
      <w:bookmarkEnd w:id="2"/>
    </w:p>
    <w:p w:rsidR="00D15681" w:rsidRDefault="00BC4EC1" w:rsidP="00D15681">
      <w:pPr>
        <w:pStyle w:val="TOC1"/>
        <w:rPr>
          <w:rFonts w:asciiTheme="minorHAnsi" w:eastAsiaTheme="minorEastAsia" w:hAnsiTheme="minorHAnsi" w:cstheme="minorBidi"/>
          <w:noProof/>
          <w:szCs w:val="22"/>
        </w:rPr>
      </w:pPr>
      <w:r>
        <w:rPr>
          <w:rFonts w:ascii="Calibri" w:hAnsi="Calibri"/>
        </w:rPr>
        <w:fldChar w:fldCharType="begin"/>
      </w:r>
      <w:r>
        <w:instrText xml:space="preserve"> TOC \o "2-2" \t "Heading 1,1" </w:instrText>
      </w:r>
      <w:r>
        <w:rPr>
          <w:rFonts w:ascii="Calibri" w:hAnsi="Calibri"/>
        </w:rPr>
        <w:fldChar w:fldCharType="separate"/>
      </w:r>
      <w:r w:rsidR="00D15681">
        <w:rPr>
          <w:noProof/>
        </w:rPr>
        <w:t>Global DC</w:t>
      </w:r>
      <w:r w:rsidR="00D15681">
        <w:rPr>
          <w:noProof/>
        </w:rPr>
        <w:tab/>
      </w:r>
      <w:r w:rsidR="00D15681">
        <w:rPr>
          <w:noProof/>
        </w:rPr>
        <w:fldChar w:fldCharType="begin"/>
      </w:r>
      <w:r w:rsidR="00D15681">
        <w:rPr>
          <w:noProof/>
        </w:rPr>
        <w:instrText xml:space="preserve"> PAGEREF _Toc384741706 \h </w:instrText>
      </w:r>
      <w:r w:rsidR="00D15681">
        <w:rPr>
          <w:noProof/>
        </w:rPr>
      </w:r>
      <w:r w:rsidR="00D15681">
        <w:rPr>
          <w:noProof/>
        </w:rPr>
        <w:fldChar w:fldCharType="separate"/>
      </w:r>
      <w:r w:rsidR="004C37C5">
        <w:rPr>
          <w:noProof/>
        </w:rPr>
        <w:t>2</w:t>
      </w:r>
      <w:r w:rsidR="00D15681">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The Creation of DC’s Language Access Program</w:t>
      </w:r>
      <w:r>
        <w:rPr>
          <w:noProof/>
        </w:rPr>
        <w:tab/>
      </w:r>
      <w:r>
        <w:rPr>
          <w:noProof/>
        </w:rPr>
        <w:fldChar w:fldCharType="begin"/>
      </w:r>
      <w:r>
        <w:rPr>
          <w:noProof/>
        </w:rPr>
        <w:instrText xml:space="preserve"> PAGEREF _Toc384741707 \h </w:instrText>
      </w:r>
      <w:r>
        <w:rPr>
          <w:noProof/>
        </w:rPr>
      </w:r>
      <w:r>
        <w:rPr>
          <w:noProof/>
        </w:rPr>
        <w:fldChar w:fldCharType="separate"/>
      </w:r>
      <w:r w:rsidR="004C37C5">
        <w:rPr>
          <w:noProof/>
        </w:rPr>
        <w:t>8</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The Context for Passage</w:t>
      </w:r>
      <w:r>
        <w:rPr>
          <w:noProof/>
        </w:rPr>
        <w:tab/>
      </w:r>
      <w:r>
        <w:rPr>
          <w:noProof/>
        </w:rPr>
        <w:fldChar w:fldCharType="begin"/>
      </w:r>
      <w:r>
        <w:rPr>
          <w:noProof/>
        </w:rPr>
        <w:instrText xml:space="preserve"> PAGEREF _Toc384741708 \h </w:instrText>
      </w:r>
      <w:r>
        <w:rPr>
          <w:noProof/>
        </w:rPr>
      </w:r>
      <w:r>
        <w:rPr>
          <w:noProof/>
        </w:rPr>
        <w:fldChar w:fldCharType="separate"/>
      </w:r>
      <w:r w:rsidR="004C37C5">
        <w:rPr>
          <w:noProof/>
        </w:rPr>
        <w:t>8</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The Provisions of the Language Access Act</w:t>
      </w:r>
      <w:r>
        <w:rPr>
          <w:noProof/>
        </w:rPr>
        <w:tab/>
      </w:r>
      <w:r>
        <w:rPr>
          <w:noProof/>
        </w:rPr>
        <w:fldChar w:fldCharType="begin"/>
      </w:r>
      <w:r>
        <w:rPr>
          <w:noProof/>
        </w:rPr>
        <w:instrText xml:space="preserve"> PAGEREF _Toc384741709 \h </w:instrText>
      </w:r>
      <w:r>
        <w:rPr>
          <w:noProof/>
        </w:rPr>
      </w:r>
      <w:r>
        <w:rPr>
          <w:noProof/>
        </w:rPr>
        <w:fldChar w:fldCharType="separate"/>
      </w:r>
      <w:r w:rsidR="004C37C5">
        <w:rPr>
          <w:noProof/>
        </w:rPr>
        <w:t>8</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Evolution of DC’s Language Access Program</w:t>
      </w:r>
      <w:r>
        <w:rPr>
          <w:noProof/>
        </w:rPr>
        <w:tab/>
      </w:r>
      <w:r>
        <w:rPr>
          <w:noProof/>
        </w:rPr>
        <w:fldChar w:fldCharType="begin"/>
      </w:r>
      <w:r>
        <w:rPr>
          <w:noProof/>
        </w:rPr>
        <w:instrText xml:space="preserve"> PAGEREF _Toc384741710 \h </w:instrText>
      </w:r>
      <w:r>
        <w:rPr>
          <w:noProof/>
        </w:rPr>
      </w:r>
      <w:r>
        <w:rPr>
          <w:noProof/>
        </w:rPr>
        <w:fldChar w:fldCharType="separate"/>
      </w:r>
      <w:r w:rsidR="004C37C5">
        <w:rPr>
          <w:noProof/>
        </w:rPr>
        <w:t>11</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Identifying Language Needs</w:t>
      </w:r>
      <w:r>
        <w:rPr>
          <w:noProof/>
        </w:rPr>
        <w:tab/>
      </w:r>
      <w:r>
        <w:rPr>
          <w:noProof/>
        </w:rPr>
        <w:fldChar w:fldCharType="begin"/>
      </w:r>
      <w:r>
        <w:rPr>
          <w:noProof/>
        </w:rPr>
        <w:instrText xml:space="preserve"> PAGEREF _Toc384741711 \h </w:instrText>
      </w:r>
      <w:r>
        <w:rPr>
          <w:noProof/>
        </w:rPr>
      </w:r>
      <w:r>
        <w:rPr>
          <w:noProof/>
        </w:rPr>
        <w:fldChar w:fldCharType="separate"/>
      </w:r>
      <w:r w:rsidR="004C37C5">
        <w:rPr>
          <w:noProof/>
        </w:rPr>
        <w:t>11</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Serving Language Needs</w:t>
      </w:r>
      <w:r>
        <w:rPr>
          <w:noProof/>
        </w:rPr>
        <w:tab/>
      </w:r>
      <w:r>
        <w:rPr>
          <w:noProof/>
        </w:rPr>
        <w:fldChar w:fldCharType="begin"/>
      </w:r>
      <w:r>
        <w:rPr>
          <w:noProof/>
        </w:rPr>
        <w:instrText xml:space="preserve"> PAGEREF _Toc384741712 \h </w:instrText>
      </w:r>
      <w:r>
        <w:rPr>
          <w:noProof/>
        </w:rPr>
      </w:r>
      <w:r>
        <w:rPr>
          <w:noProof/>
        </w:rPr>
        <w:fldChar w:fldCharType="separate"/>
      </w:r>
      <w:r w:rsidR="004C37C5">
        <w:rPr>
          <w:noProof/>
        </w:rPr>
        <w:t>12</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Monitoring Language Access Services</w:t>
      </w:r>
      <w:r>
        <w:rPr>
          <w:noProof/>
        </w:rPr>
        <w:tab/>
      </w:r>
      <w:r>
        <w:rPr>
          <w:noProof/>
        </w:rPr>
        <w:fldChar w:fldCharType="begin"/>
      </w:r>
      <w:r>
        <w:rPr>
          <w:noProof/>
        </w:rPr>
        <w:instrText xml:space="preserve"> PAGEREF _Toc384741713 \h </w:instrText>
      </w:r>
      <w:r>
        <w:rPr>
          <w:noProof/>
        </w:rPr>
      </w:r>
      <w:r>
        <w:rPr>
          <w:noProof/>
        </w:rPr>
        <w:fldChar w:fldCharType="separate"/>
      </w:r>
      <w:r w:rsidR="004C37C5">
        <w:rPr>
          <w:noProof/>
        </w:rPr>
        <w:t>12</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Demographic Analysis of the LEP/NEP Community</w:t>
      </w:r>
      <w:r>
        <w:rPr>
          <w:noProof/>
        </w:rPr>
        <w:tab/>
      </w:r>
      <w:r>
        <w:rPr>
          <w:noProof/>
        </w:rPr>
        <w:fldChar w:fldCharType="begin"/>
      </w:r>
      <w:r>
        <w:rPr>
          <w:noProof/>
        </w:rPr>
        <w:instrText xml:space="preserve"> PAGEREF _Toc384741714 \h </w:instrText>
      </w:r>
      <w:r>
        <w:rPr>
          <w:noProof/>
        </w:rPr>
      </w:r>
      <w:r>
        <w:rPr>
          <w:noProof/>
        </w:rPr>
        <w:fldChar w:fldCharType="separate"/>
      </w:r>
      <w:r w:rsidR="004C37C5">
        <w:rPr>
          <w:noProof/>
        </w:rPr>
        <w:t>13</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Analysis</w:t>
      </w:r>
      <w:r>
        <w:rPr>
          <w:noProof/>
        </w:rPr>
        <w:tab/>
      </w:r>
      <w:r>
        <w:rPr>
          <w:noProof/>
        </w:rPr>
        <w:fldChar w:fldCharType="begin"/>
      </w:r>
      <w:r>
        <w:rPr>
          <w:noProof/>
        </w:rPr>
        <w:instrText xml:space="preserve"> PAGEREF _Toc384741715 \h </w:instrText>
      </w:r>
      <w:r>
        <w:rPr>
          <w:noProof/>
        </w:rPr>
      </w:r>
      <w:r>
        <w:rPr>
          <w:noProof/>
        </w:rPr>
        <w:fldChar w:fldCharType="separate"/>
      </w:r>
      <w:r w:rsidR="004C37C5">
        <w:rPr>
          <w:noProof/>
        </w:rPr>
        <w:t>16</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Navigating the Implementation of Language Access: Accomplishments and Challenges</w:t>
      </w:r>
      <w:r>
        <w:rPr>
          <w:noProof/>
        </w:rPr>
        <w:tab/>
      </w:r>
      <w:r>
        <w:rPr>
          <w:noProof/>
        </w:rPr>
        <w:fldChar w:fldCharType="begin"/>
      </w:r>
      <w:r>
        <w:rPr>
          <w:noProof/>
        </w:rPr>
        <w:instrText xml:space="preserve"> PAGEREF _Toc384741716 \h </w:instrText>
      </w:r>
      <w:r>
        <w:rPr>
          <w:noProof/>
        </w:rPr>
      </w:r>
      <w:r>
        <w:rPr>
          <w:noProof/>
        </w:rPr>
        <w:fldChar w:fldCharType="separate"/>
      </w:r>
      <w:r w:rsidR="004C37C5">
        <w:rPr>
          <w:noProof/>
        </w:rPr>
        <w:t>24</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Identifying Language Needs</w:t>
      </w:r>
      <w:r>
        <w:rPr>
          <w:noProof/>
        </w:rPr>
        <w:tab/>
      </w:r>
      <w:r>
        <w:rPr>
          <w:noProof/>
        </w:rPr>
        <w:fldChar w:fldCharType="begin"/>
      </w:r>
      <w:r>
        <w:rPr>
          <w:noProof/>
        </w:rPr>
        <w:instrText xml:space="preserve"> PAGEREF _Toc384741717 \h </w:instrText>
      </w:r>
      <w:r>
        <w:rPr>
          <w:noProof/>
        </w:rPr>
      </w:r>
      <w:r>
        <w:rPr>
          <w:noProof/>
        </w:rPr>
        <w:fldChar w:fldCharType="separate"/>
      </w:r>
      <w:r w:rsidR="004C37C5">
        <w:rPr>
          <w:noProof/>
        </w:rPr>
        <w:t>25</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Serving Language Needs</w:t>
      </w:r>
      <w:r>
        <w:rPr>
          <w:noProof/>
        </w:rPr>
        <w:tab/>
      </w:r>
      <w:r>
        <w:rPr>
          <w:noProof/>
        </w:rPr>
        <w:fldChar w:fldCharType="begin"/>
      </w:r>
      <w:r>
        <w:rPr>
          <w:noProof/>
        </w:rPr>
        <w:instrText xml:space="preserve"> PAGEREF _Toc384741718 \h </w:instrText>
      </w:r>
      <w:r>
        <w:rPr>
          <w:noProof/>
        </w:rPr>
      </w:r>
      <w:r>
        <w:rPr>
          <w:noProof/>
        </w:rPr>
        <w:fldChar w:fldCharType="separate"/>
      </w:r>
      <w:r w:rsidR="004C37C5">
        <w:rPr>
          <w:noProof/>
        </w:rPr>
        <w:t>27</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Monitoring Services Provision</w:t>
      </w:r>
      <w:r>
        <w:rPr>
          <w:noProof/>
        </w:rPr>
        <w:tab/>
      </w:r>
      <w:r>
        <w:rPr>
          <w:noProof/>
        </w:rPr>
        <w:fldChar w:fldCharType="begin"/>
      </w:r>
      <w:r>
        <w:rPr>
          <w:noProof/>
        </w:rPr>
        <w:instrText xml:space="preserve"> PAGEREF _Toc384741719 \h </w:instrText>
      </w:r>
      <w:r>
        <w:rPr>
          <w:noProof/>
        </w:rPr>
      </w:r>
      <w:r>
        <w:rPr>
          <w:noProof/>
        </w:rPr>
        <w:fldChar w:fldCharType="separate"/>
      </w:r>
      <w:r w:rsidR="004C37C5">
        <w:rPr>
          <w:noProof/>
        </w:rPr>
        <w:t>28</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Recommendations</w:t>
      </w:r>
      <w:r>
        <w:rPr>
          <w:noProof/>
        </w:rPr>
        <w:tab/>
      </w:r>
      <w:r>
        <w:rPr>
          <w:noProof/>
        </w:rPr>
        <w:fldChar w:fldCharType="begin"/>
      </w:r>
      <w:r>
        <w:rPr>
          <w:noProof/>
        </w:rPr>
        <w:instrText xml:space="preserve"> PAGEREF _Toc384741720 \h </w:instrText>
      </w:r>
      <w:r>
        <w:rPr>
          <w:noProof/>
        </w:rPr>
      </w:r>
      <w:r>
        <w:rPr>
          <w:noProof/>
        </w:rPr>
        <w:fldChar w:fldCharType="separate"/>
      </w:r>
      <w:r w:rsidR="004C37C5">
        <w:rPr>
          <w:noProof/>
        </w:rPr>
        <w:t>29</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Improve Data Collection and Analysis</w:t>
      </w:r>
      <w:r>
        <w:rPr>
          <w:noProof/>
        </w:rPr>
        <w:tab/>
      </w:r>
      <w:r>
        <w:rPr>
          <w:noProof/>
        </w:rPr>
        <w:fldChar w:fldCharType="begin"/>
      </w:r>
      <w:r>
        <w:rPr>
          <w:noProof/>
        </w:rPr>
        <w:instrText xml:space="preserve"> PAGEREF _Toc384741721 \h </w:instrText>
      </w:r>
      <w:r>
        <w:rPr>
          <w:noProof/>
        </w:rPr>
      </w:r>
      <w:r>
        <w:rPr>
          <w:noProof/>
        </w:rPr>
        <w:fldChar w:fldCharType="separate"/>
      </w:r>
      <w:r w:rsidR="004C37C5">
        <w:rPr>
          <w:noProof/>
        </w:rPr>
        <w:t>30</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Recognize Importance of Human Capital</w:t>
      </w:r>
      <w:r>
        <w:rPr>
          <w:noProof/>
        </w:rPr>
        <w:tab/>
      </w:r>
      <w:r>
        <w:rPr>
          <w:noProof/>
        </w:rPr>
        <w:fldChar w:fldCharType="begin"/>
      </w:r>
      <w:r>
        <w:rPr>
          <w:noProof/>
        </w:rPr>
        <w:instrText xml:space="preserve"> PAGEREF _Toc384741722 \h </w:instrText>
      </w:r>
      <w:r>
        <w:rPr>
          <w:noProof/>
        </w:rPr>
      </w:r>
      <w:r>
        <w:rPr>
          <w:noProof/>
        </w:rPr>
        <w:fldChar w:fldCharType="separate"/>
      </w:r>
      <w:r w:rsidR="004C37C5">
        <w:rPr>
          <w:noProof/>
        </w:rPr>
        <w:t>31</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Improve Quality and Accessibility of Current Services and Materials</w:t>
      </w:r>
      <w:r>
        <w:rPr>
          <w:noProof/>
        </w:rPr>
        <w:tab/>
      </w:r>
      <w:r>
        <w:rPr>
          <w:noProof/>
        </w:rPr>
        <w:fldChar w:fldCharType="begin"/>
      </w:r>
      <w:r>
        <w:rPr>
          <w:noProof/>
        </w:rPr>
        <w:instrText xml:space="preserve"> PAGEREF _Toc384741723 \h </w:instrText>
      </w:r>
      <w:r>
        <w:rPr>
          <w:noProof/>
        </w:rPr>
      </w:r>
      <w:r>
        <w:rPr>
          <w:noProof/>
        </w:rPr>
        <w:fldChar w:fldCharType="separate"/>
      </w:r>
      <w:r w:rsidR="004C37C5">
        <w:rPr>
          <w:noProof/>
        </w:rPr>
        <w:t>31</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Consider Investing More Resources in the Language Access Program</w:t>
      </w:r>
      <w:r>
        <w:rPr>
          <w:noProof/>
        </w:rPr>
        <w:tab/>
      </w:r>
      <w:r>
        <w:rPr>
          <w:noProof/>
        </w:rPr>
        <w:fldChar w:fldCharType="begin"/>
      </w:r>
      <w:r>
        <w:rPr>
          <w:noProof/>
        </w:rPr>
        <w:instrText xml:space="preserve"> PAGEREF _Toc384741724 \h </w:instrText>
      </w:r>
      <w:r>
        <w:rPr>
          <w:noProof/>
        </w:rPr>
      </w:r>
      <w:r>
        <w:rPr>
          <w:noProof/>
        </w:rPr>
        <w:fldChar w:fldCharType="separate"/>
      </w:r>
      <w:r w:rsidR="004C37C5">
        <w:rPr>
          <w:noProof/>
        </w:rPr>
        <w:t>32</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Improve Coordination between Agencies</w:t>
      </w:r>
      <w:r>
        <w:rPr>
          <w:noProof/>
        </w:rPr>
        <w:tab/>
      </w:r>
      <w:r>
        <w:rPr>
          <w:noProof/>
        </w:rPr>
        <w:fldChar w:fldCharType="begin"/>
      </w:r>
      <w:r>
        <w:rPr>
          <w:noProof/>
        </w:rPr>
        <w:instrText xml:space="preserve"> PAGEREF _Toc384741725 \h </w:instrText>
      </w:r>
      <w:r>
        <w:rPr>
          <w:noProof/>
        </w:rPr>
      </w:r>
      <w:r>
        <w:rPr>
          <w:noProof/>
        </w:rPr>
        <w:fldChar w:fldCharType="separate"/>
      </w:r>
      <w:r w:rsidR="004C37C5">
        <w:rPr>
          <w:noProof/>
        </w:rPr>
        <w:t>32</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Pursue Aggressive Community Engagement</w:t>
      </w:r>
      <w:r>
        <w:rPr>
          <w:noProof/>
        </w:rPr>
        <w:tab/>
      </w:r>
      <w:r>
        <w:rPr>
          <w:noProof/>
        </w:rPr>
        <w:fldChar w:fldCharType="begin"/>
      </w:r>
      <w:r>
        <w:rPr>
          <w:noProof/>
        </w:rPr>
        <w:instrText xml:space="preserve"> PAGEREF _Toc384741726 \h </w:instrText>
      </w:r>
      <w:r>
        <w:rPr>
          <w:noProof/>
        </w:rPr>
      </w:r>
      <w:r>
        <w:rPr>
          <w:noProof/>
        </w:rPr>
        <w:fldChar w:fldCharType="separate"/>
      </w:r>
      <w:r w:rsidR="004C37C5">
        <w:rPr>
          <w:noProof/>
        </w:rPr>
        <w:t>32</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Continue Transparent Monitoring Process</w:t>
      </w:r>
      <w:r>
        <w:rPr>
          <w:noProof/>
        </w:rPr>
        <w:tab/>
      </w:r>
      <w:r>
        <w:rPr>
          <w:noProof/>
        </w:rPr>
        <w:fldChar w:fldCharType="begin"/>
      </w:r>
      <w:r>
        <w:rPr>
          <w:noProof/>
        </w:rPr>
        <w:instrText xml:space="preserve"> PAGEREF _Toc384741727 \h </w:instrText>
      </w:r>
      <w:r>
        <w:rPr>
          <w:noProof/>
        </w:rPr>
      </w:r>
      <w:r>
        <w:rPr>
          <w:noProof/>
        </w:rPr>
        <w:fldChar w:fldCharType="separate"/>
      </w:r>
      <w:r w:rsidR="004C37C5">
        <w:rPr>
          <w:noProof/>
        </w:rPr>
        <w:t>32</w:t>
      </w:r>
      <w:r>
        <w:rPr>
          <w:noProof/>
        </w:rPr>
        <w:fldChar w:fldCharType="end"/>
      </w:r>
    </w:p>
    <w:p w:rsidR="00D15681" w:rsidRDefault="00D15681">
      <w:pPr>
        <w:pStyle w:val="TOC2"/>
        <w:rPr>
          <w:rFonts w:asciiTheme="minorHAnsi" w:eastAsiaTheme="minorEastAsia" w:hAnsiTheme="minorHAnsi" w:cstheme="minorBidi"/>
          <w:noProof/>
          <w:szCs w:val="22"/>
        </w:rPr>
      </w:pPr>
      <w:r>
        <w:rPr>
          <w:noProof/>
        </w:rPr>
        <w:t>Examine Enforcement Possibilities</w:t>
      </w:r>
      <w:r>
        <w:rPr>
          <w:noProof/>
        </w:rPr>
        <w:tab/>
      </w:r>
      <w:r>
        <w:rPr>
          <w:noProof/>
        </w:rPr>
        <w:fldChar w:fldCharType="begin"/>
      </w:r>
      <w:r>
        <w:rPr>
          <w:noProof/>
        </w:rPr>
        <w:instrText xml:space="preserve"> PAGEREF _Toc384741728 \h </w:instrText>
      </w:r>
      <w:r>
        <w:rPr>
          <w:noProof/>
        </w:rPr>
      </w:r>
      <w:r>
        <w:rPr>
          <w:noProof/>
        </w:rPr>
        <w:fldChar w:fldCharType="separate"/>
      </w:r>
      <w:r w:rsidR="004C37C5">
        <w:rPr>
          <w:noProof/>
        </w:rPr>
        <w:t>33</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Summary</w:t>
      </w:r>
      <w:r>
        <w:rPr>
          <w:noProof/>
        </w:rPr>
        <w:tab/>
      </w:r>
      <w:r>
        <w:rPr>
          <w:noProof/>
        </w:rPr>
        <w:fldChar w:fldCharType="begin"/>
      </w:r>
      <w:r>
        <w:rPr>
          <w:noProof/>
        </w:rPr>
        <w:instrText xml:space="preserve"> PAGEREF _Toc384741729 \h </w:instrText>
      </w:r>
      <w:r>
        <w:rPr>
          <w:noProof/>
        </w:rPr>
      </w:r>
      <w:r>
        <w:rPr>
          <w:noProof/>
        </w:rPr>
        <w:fldChar w:fldCharType="separate"/>
      </w:r>
      <w:r w:rsidR="004C37C5">
        <w:rPr>
          <w:noProof/>
        </w:rPr>
        <w:t>33</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Appendix A. Limitations of the American Community Survey</w:t>
      </w:r>
      <w:r>
        <w:rPr>
          <w:noProof/>
        </w:rPr>
        <w:tab/>
      </w:r>
      <w:r>
        <w:rPr>
          <w:noProof/>
        </w:rPr>
        <w:fldChar w:fldCharType="begin"/>
      </w:r>
      <w:r>
        <w:rPr>
          <w:noProof/>
        </w:rPr>
        <w:instrText xml:space="preserve"> PAGEREF _Toc384741730 \h </w:instrText>
      </w:r>
      <w:r>
        <w:rPr>
          <w:noProof/>
        </w:rPr>
      </w:r>
      <w:r>
        <w:rPr>
          <w:noProof/>
        </w:rPr>
        <w:fldChar w:fldCharType="separate"/>
      </w:r>
      <w:r w:rsidR="004C37C5">
        <w:rPr>
          <w:noProof/>
        </w:rPr>
        <w:t>34</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Appendix B. Agencies Required to Conform to the Language Access Act by Compliance Date</w:t>
      </w:r>
      <w:r>
        <w:rPr>
          <w:noProof/>
        </w:rPr>
        <w:tab/>
      </w:r>
      <w:r>
        <w:rPr>
          <w:noProof/>
        </w:rPr>
        <w:fldChar w:fldCharType="begin"/>
      </w:r>
      <w:r>
        <w:rPr>
          <w:noProof/>
        </w:rPr>
        <w:instrText xml:space="preserve"> PAGEREF _Toc384741731 \h </w:instrText>
      </w:r>
      <w:r>
        <w:rPr>
          <w:noProof/>
        </w:rPr>
      </w:r>
      <w:r>
        <w:rPr>
          <w:noProof/>
        </w:rPr>
        <w:fldChar w:fldCharType="separate"/>
      </w:r>
      <w:r w:rsidR="004C37C5">
        <w:rPr>
          <w:noProof/>
        </w:rPr>
        <w:t>35</w:t>
      </w:r>
      <w:r>
        <w:rPr>
          <w:noProof/>
        </w:rPr>
        <w:fldChar w:fldCharType="end"/>
      </w:r>
    </w:p>
    <w:p w:rsidR="00D15681" w:rsidRDefault="00D15681" w:rsidP="00D15681">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_Toc384741736 \h </w:instrText>
      </w:r>
      <w:r>
        <w:rPr>
          <w:noProof/>
        </w:rPr>
      </w:r>
      <w:r>
        <w:rPr>
          <w:noProof/>
        </w:rPr>
        <w:fldChar w:fldCharType="separate"/>
      </w:r>
      <w:r w:rsidR="004C37C5">
        <w:rPr>
          <w:noProof/>
        </w:rPr>
        <w:t>36</w:t>
      </w:r>
      <w:r>
        <w:rPr>
          <w:noProof/>
        </w:rPr>
        <w:fldChar w:fldCharType="end"/>
      </w:r>
    </w:p>
    <w:p w:rsidR="00D15681" w:rsidRDefault="00D15681" w:rsidP="00D15681">
      <w:pPr>
        <w:pStyle w:val="TOC1"/>
        <w:rPr>
          <w:rFonts w:asciiTheme="minorHAnsi" w:eastAsiaTheme="minorEastAsia" w:hAnsiTheme="minorHAnsi" w:cstheme="minorBidi"/>
          <w:noProof/>
          <w:szCs w:val="22"/>
        </w:rPr>
      </w:pPr>
      <w:r w:rsidRPr="00B232C9">
        <w:rPr>
          <w:rFonts w:eastAsia="Calibri"/>
          <w:noProof/>
        </w:rPr>
        <w:t>Notes</w:t>
      </w:r>
      <w:r>
        <w:rPr>
          <w:noProof/>
        </w:rPr>
        <w:tab/>
      </w:r>
      <w:r>
        <w:rPr>
          <w:noProof/>
        </w:rPr>
        <w:fldChar w:fldCharType="begin"/>
      </w:r>
      <w:r>
        <w:rPr>
          <w:noProof/>
        </w:rPr>
        <w:instrText xml:space="preserve"> PAGEREF _Toc384741737 \h </w:instrText>
      </w:r>
      <w:r>
        <w:rPr>
          <w:noProof/>
        </w:rPr>
      </w:r>
      <w:r>
        <w:rPr>
          <w:noProof/>
        </w:rPr>
        <w:fldChar w:fldCharType="separate"/>
      </w:r>
      <w:r w:rsidR="004C37C5">
        <w:rPr>
          <w:noProof/>
        </w:rPr>
        <w:t>38</w:t>
      </w:r>
      <w:r>
        <w:rPr>
          <w:noProof/>
        </w:rPr>
        <w:fldChar w:fldCharType="end"/>
      </w:r>
    </w:p>
    <w:p w:rsidR="00BC4EC1" w:rsidRDefault="00BC4EC1" w:rsidP="00BC4EC1">
      <w:pPr>
        <w:pStyle w:val="BodyText"/>
        <w:sectPr w:rsidR="00BC4EC1">
          <w:endnotePr>
            <w:numFmt w:val="decimal"/>
          </w:endnotePr>
          <w:pgSz w:w="12240" w:h="15840"/>
          <w:pgMar w:top="1440" w:right="1440" w:bottom="1440" w:left="1440" w:header="720" w:footer="720" w:gutter="0"/>
          <w:cols w:space="720"/>
          <w:docGrid w:linePitch="360"/>
        </w:sectPr>
      </w:pPr>
      <w:r>
        <w:fldChar w:fldCharType="end"/>
      </w:r>
    </w:p>
    <w:p w:rsidR="00BC4EC1" w:rsidRPr="0043106B" w:rsidRDefault="00BC4EC1" w:rsidP="00BC4EC1">
      <w:pPr>
        <w:pStyle w:val="Title"/>
      </w:pPr>
      <w:r w:rsidRPr="0043106B">
        <w:t xml:space="preserve">Ten Years of Language Access </w:t>
      </w:r>
      <w:r w:rsidRPr="00842702">
        <w:br/>
      </w:r>
      <w:r w:rsidRPr="0077099F">
        <w:t>in Washington, DC</w:t>
      </w:r>
    </w:p>
    <w:p w:rsidR="00BC4EC1" w:rsidRPr="008A339F" w:rsidRDefault="00BC4EC1" w:rsidP="00BC4EC1">
      <w:pPr>
        <w:pStyle w:val="BodyText"/>
      </w:pPr>
      <w:r w:rsidRPr="008A339F">
        <w:t>Ten years ago, the District of Columbia enacted the DC Language Access Act of 2004, which requires all District agencies, and especially those with significant public contact, to ensure that limited English proficient (LEP) and non</w:t>
      </w:r>
      <w:r>
        <w:t>–</w:t>
      </w:r>
      <w:r w:rsidRPr="008A339F">
        <w:t xml:space="preserve">English proficient (NEP) residents have full access to </w:t>
      </w:r>
      <w:r w:rsidRPr="00EE5261">
        <w:t>services. Because LEP</w:t>
      </w:r>
      <w:r w:rsidR="00EE5261">
        <w:t>/</w:t>
      </w:r>
      <w:r w:rsidR="00460F3A">
        <w:br/>
      </w:r>
      <w:r w:rsidRPr="00EE5261">
        <w:t>NEP residents often face barriers in their interactions with public agencies, the District passed language access legislation to require local agencies to provide translation and interpretation</w:t>
      </w:r>
      <w:r w:rsidRPr="008A339F">
        <w:t xml:space="preserve"> resources to all LEP/NEP clients. DC is one of only a few cities in the United States to have passed such legislation. </w:t>
      </w:r>
    </w:p>
    <w:p w:rsidR="00BC4EC1" w:rsidRPr="008A339F" w:rsidRDefault="00BC4EC1" w:rsidP="00BC4EC1">
      <w:pPr>
        <w:pStyle w:val="BodyTextFirstIndent"/>
      </w:pPr>
      <w:r w:rsidRPr="008A339F">
        <w:t xml:space="preserve">The imperative for language access stems from the District’s rich diversity. The metropolitan region has become an important immigration hub over the </w:t>
      </w:r>
      <w:r>
        <w:t>p</w:t>
      </w:r>
      <w:r w:rsidRPr="008A339F">
        <w:t>ast several decades, with significant growth and diversification of residents in the inner and outlying suburbs of Virginia and Maryland, as well as in the District. The District’s foreign-born population account</w:t>
      </w:r>
      <w:r>
        <w:t>s</w:t>
      </w:r>
      <w:r w:rsidRPr="008A339F">
        <w:t xml:space="preserve"> for more than </w:t>
      </w:r>
      <w:r>
        <w:t xml:space="preserve">a </w:t>
      </w:r>
      <w:r w:rsidRPr="008A339F">
        <w:t>third of its population growth since 2007. Similar to trends throughout the region, the District has an extremely diverse immigrant population</w:t>
      </w:r>
      <w:r>
        <w:t>;</w:t>
      </w:r>
      <w:r w:rsidRPr="008A339F">
        <w:t xml:space="preserve"> no one country of birth </w:t>
      </w:r>
      <w:r>
        <w:t xml:space="preserve">makes up </w:t>
      </w:r>
      <w:r w:rsidRPr="008A339F">
        <w:t xml:space="preserve">more than 16 percent of the foreign-born. In this context, ensuring access for LEP/NEP </w:t>
      </w:r>
      <w:r>
        <w:t xml:space="preserve">residents </w:t>
      </w:r>
      <w:r w:rsidRPr="008A339F">
        <w:t>is critical. In the greater DC area,</w:t>
      </w:r>
      <w:r w:rsidRPr="009E3FB0">
        <w:rPr>
          <w:vertAlign w:val="superscript"/>
        </w:rPr>
        <w:endnoteReference w:id="1"/>
      </w:r>
      <w:r w:rsidRPr="008A339F">
        <w:t xml:space="preserve"> </w:t>
      </w:r>
      <w:r>
        <w:t xml:space="preserve">1 </w:t>
      </w:r>
      <w:r w:rsidRPr="008A339F">
        <w:t xml:space="preserve">in </w:t>
      </w:r>
      <w:r>
        <w:t xml:space="preserve">10 </w:t>
      </w:r>
      <w:r w:rsidRPr="008A339F">
        <w:t>individuals over the age of 5 is LEP/NEP</w:t>
      </w:r>
      <w:r>
        <w:t>;</w:t>
      </w:r>
      <w:r w:rsidRPr="008A339F">
        <w:t xml:space="preserve"> in the District, </w:t>
      </w:r>
      <w:r>
        <w:t xml:space="preserve">the share is </w:t>
      </w:r>
      <w:r w:rsidRPr="008A339F">
        <w:t xml:space="preserve">about </w:t>
      </w:r>
      <w:r>
        <w:t xml:space="preserve">1 </w:t>
      </w:r>
      <w:r w:rsidRPr="008A339F">
        <w:t xml:space="preserve">in </w:t>
      </w:r>
      <w:r>
        <w:t>20</w:t>
      </w:r>
      <w:r w:rsidRPr="008A339F">
        <w:t>. More than 85</w:t>
      </w:r>
      <w:r>
        <w:t xml:space="preserve"> percent</w:t>
      </w:r>
      <w:r w:rsidRPr="008A339F">
        <w:t xml:space="preserve"> of LEP/NEP </w:t>
      </w:r>
      <w:r>
        <w:t xml:space="preserve">people </w:t>
      </w:r>
      <w:r w:rsidRPr="008A339F">
        <w:t>living in the District are foreign-born, but a substantial proportion</w:t>
      </w:r>
      <w:r w:rsidR="00940E66">
        <w:t xml:space="preserve"> (</w:t>
      </w:r>
      <w:r w:rsidRPr="008A339F">
        <w:t>15</w:t>
      </w:r>
      <w:r w:rsidR="00940E66">
        <w:t xml:space="preserve"> percent)</w:t>
      </w:r>
      <w:r w:rsidRPr="008A339F">
        <w:t xml:space="preserve"> are US-born. Given both the large number and the diversity of LEP individuals in DC, challenges arise when attempting to provide services to this community. The District’s Language Access Program has </w:t>
      </w:r>
      <w:r>
        <w:t xml:space="preserve">strived </w:t>
      </w:r>
      <w:r w:rsidRPr="008A339F">
        <w:t xml:space="preserve">over the </w:t>
      </w:r>
      <w:r>
        <w:t>p</w:t>
      </w:r>
      <w:r w:rsidRPr="008A339F">
        <w:t xml:space="preserve">ast </w:t>
      </w:r>
      <w:r>
        <w:t xml:space="preserve">10 </w:t>
      </w:r>
      <w:r w:rsidRPr="008A339F">
        <w:t>years to support these language needs.</w:t>
      </w:r>
    </w:p>
    <w:p w:rsidR="00BC4EC1" w:rsidRPr="008A339F" w:rsidRDefault="00BC4EC1" w:rsidP="00BC4EC1">
      <w:pPr>
        <w:pStyle w:val="BodyTextFirstIndent"/>
      </w:pPr>
      <w:r w:rsidRPr="008A339F">
        <w:t xml:space="preserve">This report </w:t>
      </w:r>
      <w:r>
        <w:t>offers</w:t>
      </w:r>
      <w:r w:rsidRPr="00BA2734">
        <w:t xml:space="preserve"> an overview of</w:t>
      </w:r>
      <w:r w:rsidRPr="008A339F">
        <w:t xml:space="preserve"> the Language Access Program and Washington’s LEP/NEP population. We first present the context of the District as a city that draws immigrants from around the world. We then descri</w:t>
      </w:r>
      <w:r>
        <w:t>be</w:t>
      </w:r>
      <w:r w:rsidRPr="008A339F">
        <w:t xml:space="preserve"> DC’s Language Access Program, its creation, and evolution, and profile the city’s LEP/NEP population. Next, we identify accomplishments and challenges for each of the three major domains required for ensuring full language access: identifying language needs, serving language needs, and monitoring </w:t>
      </w:r>
      <w:r>
        <w:t>the provision of those services</w:t>
      </w:r>
      <w:r w:rsidRPr="008A339F">
        <w:t>. We conclude with recommendations for next steps for city government officials and other stakeholders as they continue to strengthen the Language Access Program in the District.</w:t>
      </w:r>
    </w:p>
    <w:p w:rsidR="00BC4EC1" w:rsidRPr="008A339F" w:rsidRDefault="00BC4EC1" w:rsidP="00BC4EC1">
      <w:pPr>
        <w:pStyle w:val="BodyTextFirstIndent"/>
      </w:pPr>
      <w:r w:rsidRPr="008A339F">
        <w:t xml:space="preserve">The demographic profile is based on the American Community Survey (ACS), which is the best available data source providing detailed demographic and household characteristics on a large, representative sample of US households. The program overview is based on existing literature, DC government documents and reports, and perspectives from a small group of stakeholders. Specifically, we reviewed the literature on best practices for language access policy and on immigration and language access in DC. In addition, we conducted </w:t>
      </w:r>
      <w:r>
        <w:t xml:space="preserve">11 </w:t>
      </w:r>
      <w:r w:rsidRPr="008A339F">
        <w:t xml:space="preserve">interviews with </w:t>
      </w:r>
      <w:r>
        <w:t xml:space="preserve">14 </w:t>
      </w:r>
      <w:r w:rsidRPr="008A339F">
        <w:t xml:space="preserve">stakeholders from city government and immigrant-serving nonprofits in DC, who have worked directly on language access issues at different stages of the implementation of the program. Although the research team drew on multiple sources as described, interview participants were recruited by the Office of Human Rights and the </w:t>
      </w:r>
      <w:r>
        <w:t>m</w:t>
      </w:r>
      <w:r w:rsidRPr="008A339F">
        <w:t xml:space="preserve">ayor’s </w:t>
      </w:r>
      <w:r>
        <w:t>c</w:t>
      </w:r>
      <w:r w:rsidRPr="008A339F">
        <w:t xml:space="preserve">onstituent </w:t>
      </w:r>
      <w:r>
        <w:t>o</w:t>
      </w:r>
      <w:r w:rsidRPr="008A339F">
        <w:t>ffices. It is important to note this limitation to the study, as it introduced a potential source of bias.</w:t>
      </w:r>
    </w:p>
    <w:p w:rsidR="00BC4EC1" w:rsidRPr="008A339F" w:rsidRDefault="00BC4EC1" w:rsidP="00BC4EC1">
      <w:pPr>
        <w:pStyle w:val="BodyTextFirstIndent"/>
      </w:pPr>
      <w:r w:rsidRPr="008A339F">
        <w:t xml:space="preserve">The findings describe a pioneering Language Access Act that emerged through a community-based effort led by the DC Language Access Coalition, made up of diverse immigrant-serving organizations that recognized the importance of ensuring full access to DC’s LEP/NEP residents. Coordinated and monitored by the Office of Human Rights, the Language Access Program is supported by the active engagement of partners and implemented directly by frontline and Language Access team staff at a wide range of District agencies. The structure and specific activities of the Language Access Program have evolved and modernized over the </w:t>
      </w:r>
      <w:r>
        <w:t>p</w:t>
      </w:r>
      <w:r w:rsidRPr="008A339F">
        <w:t xml:space="preserve">ast decade, with significant accomplishments in increasing </w:t>
      </w:r>
      <w:r>
        <w:t xml:space="preserve">public and agency </w:t>
      </w:r>
      <w:r w:rsidRPr="008A339F">
        <w:t xml:space="preserve">awareness, as well as expanding available translation and interpretation resources. The complexity of assessing the language needs of an extremely diverse LEP/NEP population, across a wide array of agencies and </w:t>
      </w:r>
      <w:r>
        <w:t xml:space="preserve">with </w:t>
      </w:r>
      <w:r w:rsidRPr="008A339F">
        <w:t xml:space="preserve">limited resources, poses a key challenge to the success of the program. Recommendations focus on continuing to improve data collection and analysis, recognizing the importance of human capital and bilingual skills, improving </w:t>
      </w:r>
      <w:r>
        <w:t xml:space="preserve">service </w:t>
      </w:r>
      <w:r w:rsidRPr="008A339F">
        <w:t>quality and accessibility, improving coordination</w:t>
      </w:r>
      <w:r>
        <w:t xml:space="preserve"> between agencies</w:t>
      </w:r>
      <w:r w:rsidRPr="008A339F">
        <w:t xml:space="preserve">, </w:t>
      </w:r>
      <w:r w:rsidRPr="00BA2734">
        <w:t>pursuing aggressive</w:t>
      </w:r>
      <w:r w:rsidRPr="008A339F">
        <w:t xml:space="preserve"> community engagement, continuing the trans</w:t>
      </w:r>
      <w:r w:rsidR="00460F3A">
        <w:t>-</w:t>
      </w:r>
      <w:r w:rsidRPr="008A339F">
        <w:t xml:space="preserve">parent monitoring system, examining enforcement possibilities, and considering further investments in a program that still faces considerable hurdles </w:t>
      </w:r>
      <w:r>
        <w:t xml:space="preserve">despite </w:t>
      </w:r>
      <w:r w:rsidRPr="008A339F">
        <w:t xml:space="preserve">significant strides over the </w:t>
      </w:r>
      <w:r>
        <w:t>p</w:t>
      </w:r>
      <w:r w:rsidRPr="008A339F">
        <w:t>ast decade.</w:t>
      </w:r>
    </w:p>
    <w:p w:rsidR="00BC4EC1" w:rsidRPr="008A339F" w:rsidRDefault="00BC4EC1" w:rsidP="00BC4EC1">
      <w:pPr>
        <w:pStyle w:val="Heading1"/>
      </w:pPr>
      <w:bookmarkStart w:id="3" w:name="_Toc384741706"/>
      <w:r w:rsidRPr="008A339F">
        <w:t>Global DC</w:t>
      </w:r>
      <w:bookmarkEnd w:id="3"/>
    </w:p>
    <w:p w:rsidR="00BC4EC1" w:rsidRDefault="00BC4EC1" w:rsidP="00BC4EC1">
      <w:pPr>
        <w:pStyle w:val="BodyText"/>
        <w:rPr>
          <w:bCs/>
        </w:rPr>
      </w:pPr>
      <w:r>
        <w:t>The DC Language Access Act of 2004 has been shaped by both the size and the diversity of the immigrant community in the District. More than 85,000 immigrants currently live in the District of Columbia, and their population continues to grow. Metropolitan DC is now one of the most significant immigration hubs in the country. It has the seventh-largest immigrant concentration (21.5 percent foreign-born), following New York, Los Angeles, Miami, Chicago, Houston, and San Francisco</w:t>
      </w:r>
      <w:r>
        <w:rPr>
          <w:bCs/>
        </w:rPr>
        <w:t xml:space="preserve"> In terms of size, 1.2 million foreign-born live in the metropolitan DC region, a similar scale to Houston, San Francisco, and Dallas–Fort Worth </w:t>
      </w:r>
      <w:r w:rsidRPr="00C62725">
        <w:rPr>
          <w:bCs/>
        </w:rPr>
        <w:t>(Singer 201</w:t>
      </w:r>
      <w:r>
        <w:rPr>
          <w:bCs/>
        </w:rPr>
        <w:t>2).</w:t>
      </w:r>
    </w:p>
    <w:p w:rsidR="00BC4EC1" w:rsidRDefault="00BC4EC1" w:rsidP="00BC4EC1">
      <w:pPr>
        <w:pStyle w:val="BodyTextFirstIndent"/>
      </w:pPr>
      <w:r>
        <w:t>While the District has not always been an immigrant destination, the size of the immigrant community has grown rapidly over the past 40 years and continues to grow (figure 1). As the nation’s capital and the seat of federal government, Washington, DC</w:t>
      </w:r>
      <w:r w:rsidR="006D58CF">
        <w:t>,</w:t>
      </w:r>
      <w:r>
        <w:t xml:space="preserve"> offers a global environment as the location for foreign embassies, international organizations, major research institutions and universities, and a range of organizations in the private and non-profit sectors that are associated with the policymaking community and knowledge industry. The presence of such a range of organizations provides great economic opportunities and also produces a wide array of labor needs to support the large, relatively highly-skilled, high income metropolitan population. This has led to needs, in particular, in the service and construction fields, often filled by foreign-born workers. </w:t>
      </w:r>
    </w:p>
    <w:p w:rsidR="00BC4EC1" w:rsidRDefault="00BC4EC1" w:rsidP="00BC4EC1">
      <w:pPr>
        <w:pStyle w:val="BodyTextFirstIndent"/>
      </w:pPr>
      <w:r w:rsidRPr="00C62725">
        <w:t>As the region has diversified, inflows of students and knowledge workers have been joined by refugee populations as immigrants from all global regions have joined family and friends already settled here (Singer 201</w:t>
      </w:r>
      <w:r>
        <w:t>2</w:t>
      </w:r>
      <w:r w:rsidRPr="00C62725">
        <w:t>). Many inflows of immigrants in the District and the surrounding metropolitan area were driven by refugee resettlement. For instance, in the 1970s, the Vietnam War sent several waves of Vietnamese immigrants into the United States as refugees, including many that settled in the DC area. In the 1980s, civil conflict and natural disasters drove Central Americans to migrate to the United States, and many of them, especially immigrants from El Salvador, have settled in the DC area (Singer 201</w:t>
      </w:r>
      <w:r>
        <w:t>2</w:t>
      </w:r>
      <w:r w:rsidRPr="00C62725">
        <w:t>).</w:t>
      </w:r>
      <w:r>
        <w:t xml:space="preserve"> </w:t>
      </w:r>
      <w:r w:rsidRPr="00C62725">
        <w:t xml:space="preserve">Since the 1990s, conflict in African countries has brought a wave of African, especially Ethiopian and Somali refugees into the DC area (Singer </w:t>
      </w:r>
      <w:r>
        <w:t>and</w:t>
      </w:r>
      <w:r w:rsidRPr="00C62725">
        <w:t xml:space="preserve"> Wilson </w:t>
      </w:r>
      <w:r w:rsidR="001422F7" w:rsidRPr="00C62725">
        <w:t>200</w:t>
      </w:r>
      <w:r w:rsidR="001422F7">
        <w:t>6</w:t>
      </w:r>
      <w:r w:rsidRPr="00C62725">
        <w:t xml:space="preserve">). The settlement of immigrants in DC has been driven by </w:t>
      </w:r>
      <w:r w:rsidRPr="00C62725">
        <w:rPr>
          <w:sz w:val="23"/>
          <w:szCs w:val="23"/>
        </w:rPr>
        <w:t>economic, political, religious, and academic</w:t>
      </w:r>
      <w:r w:rsidRPr="00C62725">
        <w:t xml:space="preserve"> motivations.</w:t>
      </w:r>
      <w:r>
        <w:t xml:space="preserve"> As this section will describe, the District’s job opportunities have attracted a diverse group of immigrants from all regions of the world, filling high growth occupations at both the high and low skill levels. </w:t>
      </w:r>
    </w:p>
    <w:p w:rsidR="00BC4EC1" w:rsidRDefault="00BC4EC1" w:rsidP="00BC4EC1">
      <w:pPr>
        <w:pStyle w:val="BodyTextFirstIndent"/>
        <w:rPr>
          <w:rFonts w:ascii="Gill Sans MT" w:hAnsi="Gill Sans MT"/>
          <w:b/>
          <w:noProof/>
        </w:rPr>
      </w:pPr>
      <w:r w:rsidRPr="003420EB">
        <w:t>The District of Columbia has a</w:t>
      </w:r>
      <w:r>
        <w:t>ttracted a</w:t>
      </w:r>
      <w:r w:rsidRPr="003420EB">
        <w:t xml:space="preserve"> relatively more diverse immigrant population than the United States.</w:t>
      </w:r>
      <w:r>
        <w:t xml:space="preserve"> A large share of immigrants in the District of Columbia comes from Latin America (similar to the rest of the country), but the District much larger</w:t>
      </w:r>
      <w:r w:rsidRPr="003420EB">
        <w:t xml:space="preserve"> shares of </w:t>
      </w:r>
      <w:r>
        <w:t>African and European</w:t>
      </w:r>
      <w:r w:rsidRPr="003420EB">
        <w:t xml:space="preserve"> immigra</w:t>
      </w:r>
      <w:r>
        <w:t>nts. While immigrants from Asia make up a smaller share of the immigrant population in DC than in the United States as a whole, they still make up 19 percent (figure 2). Immigrants’ countries of origin are similarly diverse. No one country of origin constitutes more than 16 percent of the immigrant population</w:t>
      </w:r>
      <w:r w:rsidR="00B56266">
        <w:t xml:space="preserve"> in the District</w:t>
      </w:r>
      <w:r>
        <w:t>. Further, the top 10 countries of origin total less than 50 percent of the immigrant population. In contrast, immigrants from Mexico make up close to 30 percent of all immigrants nationwide, and the top 10 countries cover nearly 60 percent of the immigrant population</w:t>
      </w:r>
      <w:r w:rsidR="00B56266">
        <w:t xml:space="preserve">. </w:t>
      </w:r>
      <w:r>
        <w:t xml:space="preserve"> The number of immigrants from each world region has grown in the past two decades (figure 3). </w:t>
      </w:r>
    </w:p>
    <w:p w:rsidR="00BC4EC1" w:rsidRDefault="00BC4EC1" w:rsidP="00BC4EC1">
      <w:pPr>
        <w:pStyle w:val="FigureandTableTitle"/>
      </w:pPr>
      <w:r w:rsidRPr="008A339F">
        <w:t xml:space="preserve">Figure </w:t>
      </w:r>
      <w:r w:rsidRPr="008A339F">
        <w:fldChar w:fldCharType="begin"/>
      </w:r>
      <w:r w:rsidRPr="008A339F">
        <w:instrText xml:space="preserve"> SEQ Figure \* ARABIC </w:instrText>
      </w:r>
      <w:r w:rsidRPr="008A339F">
        <w:fldChar w:fldCharType="separate"/>
      </w:r>
      <w:r w:rsidR="004C37C5">
        <w:t>1</w:t>
      </w:r>
      <w:r w:rsidRPr="008A339F">
        <w:fldChar w:fldCharType="end"/>
      </w:r>
      <w:r>
        <w:t>.</w:t>
      </w:r>
      <w:r w:rsidRPr="008A339F">
        <w:t xml:space="preserve"> Number of Immigrants Living in the District of Columbia</w:t>
      </w:r>
      <w:r>
        <w:t>,</w:t>
      </w:r>
      <w:r w:rsidRPr="008A339F">
        <w:t xml:space="preserve"> 1900</w:t>
      </w:r>
      <w:r>
        <w:t>–</w:t>
      </w:r>
      <w:r w:rsidRPr="008A339F">
        <w:t>2010</w:t>
      </w:r>
    </w:p>
    <w:p w:rsidR="00BC4EC1" w:rsidRDefault="00130D4E" w:rsidP="00BC4EC1">
      <w:pPr>
        <w:pStyle w:val="FigureandTableNotes"/>
        <w:rPr>
          <w:i/>
        </w:rPr>
      </w:pPr>
      <w:r>
        <w:rPr>
          <w:bCs w:val="0"/>
          <w:noProof/>
        </w:rPr>
        <w:drawing>
          <wp:anchor distT="0" distB="91440" distL="114300" distR="114300" simplePos="0" relativeHeight="251649536" behindDoc="0" locked="0" layoutInCell="1" allowOverlap="0" wp14:anchorId="76B77FB6" wp14:editId="78AB7262">
            <wp:simplePos x="0" y="0"/>
            <wp:positionH relativeFrom="margin">
              <wp:align>left</wp:align>
            </wp:positionH>
            <wp:positionV relativeFrom="paragraph">
              <wp:posOffset>45720</wp:posOffset>
            </wp:positionV>
            <wp:extent cx="6409944" cy="3191256"/>
            <wp:effectExtent l="0" t="0" r="0" b="0"/>
            <wp:wrapTopAndBottom/>
            <wp:docPr id="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C4EC1">
        <w:rPr>
          <w:i/>
        </w:rPr>
        <w:t xml:space="preserve">Sources: </w:t>
      </w:r>
      <w:r w:rsidR="00BC4EC1" w:rsidRPr="00E213A1">
        <w:t>1900</w:t>
      </w:r>
      <w:r w:rsidR="00BC4EC1">
        <w:t>–</w:t>
      </w:r>
      <w:r w:rsidR="00BC4EC1" w:rsidRPr="00E213A1">
        <w:t xml:space="preserve">2000 </w:t>
      </w:r>
      <w:r w:rsidR="00BC4EC1">
        <w:t xml:space="preserve">values </w:t>
      </w:r>
      <w:r w:rsidR="00BC4EC1" w:rsidRPr="00E213A1">
        <w:t>from “Historical Census Tables on the Foreign-Born Population of the United States 1850 to 2000”</w:t>
      </w:r>
      <w:r w:rsidR="00BC4EC1">
        <w:t xml:space="preserve">; 2010 value </w:t>
      </w:r>
      <w:r w:rsidR="007B7F28">
        <w:t xml:space="preserve">is </w:t>
      </w:r>
      <w:r w:rsidR="001422F7">
        <w:t>one</w:t>
      </w:r>
      <w:r w:rsidR="001422F7" w:rsidRPr="00E04D63">
        <w:t xml:space="preserve">-year </w:t>
      </w:r>
      <w:r w:rsidR="001422F7">
        <w:t>estimate</w:t>
      </w:r>
      <w:r w:rsidR="001422F7" w:rsidRPr="00E04D63">
        <w:t xml:space="preserve"> from the American Community Survey, accessed through American </w:t>
      </w:r>
      <w:proofErr w:type="spellStart"/>
      <w:r w:rsidR="001422F7" w:rsidRPr="00E04D63">
        <w:t>FactFinder</w:t>
      </w:r>
      <w:proofErr w:type="spellEnd"/>
      <w:r w:rsidR="00BC4EC1" w:rsidRPr="00E213A1">
        <w:t xml:space="preserve">. </w:t>
      </w:r>
    </w:p>
    <w:p w:rsidR="007B7F28" w:rsidRDefault="007B7F28">
      <w:pPr>
        <w:jc w:val="left"/>
        <w:rPr>
          <w:rFonts w:ascii="Gill Sans MT" w:eastAsia="MS Mincho" w:hAnsi="Gill Sans MT"/>
          <w:b/>
          <w:noProof/>
        </w:rPr>
      </w:pPr>
      <w:r>
        <w:br w:type="page"/>
      </w:r>
      <w:bookmarkStart w:id="4" w:name="_GoBack"/>
      <w:bookmarkEnd w:id="4"/>
    </w:p>
    <w:p w:rsidR="00BC4EC1" w:rsidRDefault="00BC4EC1" w:rsidP="00BC4EC1">
      <w:pPr>
        <w:pStyle w:val="FigureandTableTitle"/>
      </w:pPr>
      <w:r>
        <w:t xml:space="preserve">Figure </w:t>
      </w:r>
      <w:r>
        <w:rPr>
          <w:noProof w:val="0"/>
        </w:rPr>
        <w:fldChar w:fldCharType="begin"/>
      </w:r>
      <w:r>
        <w:instrText xml:space="preserve"> SEQ Figure \* ARABIC </w:instrText>
      </w:r>
      <w:r>
        <w:rPr>
          <w:noProof w:val="0"/>
        </w:rPr>
        <w:fldChar w:fldCharType="separate"/>
      </w:r>
      <w:r w:rsidR="004C37C5">
        <w:t>2</w:t>
      </w:r>
      <w:r>
        <w:fldChar w:fldCharType="end"/>
      </w:r>
      <w:r>
        <w:t xml:space="preserve">. Distribution of Immigrants by Region of Birth </w:t>
      </w:r>
    </w:p>
    <w:p w:rsidR="00BC4EC1" w:rsidRDefault="00130D4E" w:rsidP="00BC4EC1">
      <w:pPr>
        <w:pStyle w:val="FigureandTableTitle"/>
        <w:spacing w:before="240"/>
      </w:pPr>
      <w:r>
        <mc:AlternateContent>
          <mc:Choice Requires="wps">
            <w:drawing>
              <wp:anchor distT="0" distB="0" distL="114300" distR="114300" simplePos="0" relativeHeight="251643392" behindDoc="0" locked="0" layoutInCell="1" allowOverlap="1" wp14:anchorId="645010D0" wp14:editId="6EA1D519">
                <wp:simplePos x="0" y="0"/>
                <wp:positionH relativeFrom="column">
                  <wp:posOffset>3128645</wp:posOffset>
                </wp:positionH>
                <wp:positionV relativeFrom="paragraph">
                  <wp:posOffset>33020</wp:posOffset>
                </wp:positionV>
                <wp:extent cx="2553335" cy="38608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386080"/>
                        </a:xfrm>
                        <a:prstGeom prst="rect">
                          <a:avLst/>
                        </a:prstGeom>
                        <a:noFill/>
                        <a:ln w="9525">
                          <a:noFill/>
                          <a:miter lim="800000"/>
                          <a:headEnd/>
                          <a:tailEnd/>
                        </a:ln>
                      </wps:spPr>
                      <wps:txbx>
                        <w:txbxContent>
                          <w:p w:rsidR="006D58CF" w:rsidRPr="00A05270" w:rsidRDefault="006D58CF" w:rsidP="00BC4EC1">
                            <w:pPr>
                              <w:jc w:val="center"/>
                              <w:rPr>
                                <w:rFonts w:ascii="Gill Sans MT" w:hAnsi="Gill Sans MT"/>
                                <w:i/>
                                <w:sz w:val="20"/>
                              </w:rPr>
                            </w:pPr>
                            <w:r w:rsidRPr="00A05270">
                              <w:rPr>
                                <w:rFonts w:ascii="Gill Sans MT" w:hAnsi="Gill Sans MT"/>
                                <w:i/>
                                <w:sz w:val="20"/>
                              </w:rPr>
                              <w:t>United States</w:t>
                            </w:r>
                          </w:p>
                          <w:p w:rsidR="006D58CF" w:rsidRPr="00A05270" w:rsidRDefault="006D58CF" w:rsidP="00BC4EC1">
                            <w:pPr>
                              <w:jc w:val="center"/>
                              <w:rPr>
                                <w:rFonts w:ascii="Gill Sans MT" w:hAnsi="Gill Sans MT"/>
                                <w:i/>
                                <w:sz w:val="20"/>
                              </w:rPr>
                            </w:pPr>
                            <w:r w:rsidRPr="00A05270">
                              <w:rPr>
                                <w:rFonts w:ascii="Gill Sans MT" w:hAnsi="Gill Sans MT"/>
                                <w:i/>
                                <w:sz w:val="20"/>
                              </w:rPr>
                              <w:t>44,450,300</w:t>
                            </w:r>
                            <w:r>
                              <w:rPr>
                                <w:rFonts w:ascii="Gill Sans MT" w:hAnsi="Gill Sans MT"/>
                                <w:i/>
                                <w:sz w:val="20"/>
                              </w:rPr>
                              <w:t xml:space="preserve"> immigrants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46.35pt;margin-top:2.6pt;width:201.05pt;height:30.4pt;z-index:251643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" filled="f" stroked="f">
                <v:textbox style="mso-fit-shape-to-text:t">
                  <w:txbxContent>
                    <w:p w:rsidR="006D58CF" w:rsidRPr="00A05270" w:rsidRDefault="006D58CF" w:rsidP="00BC4EC1">
                      <w:pPr>
                        <w:jc w:val="center"/>
                        <w:rPr>
                          <w:rFonts w:ascii="Gill Sans MT" w:hAnsi="Gill Sans MT"/>
                          <w:i/>
                          <w:sz w:val="20"/>
                        </w:rPr>
                      </w:pPr>
                      <w:r w:rsidRPr="00A05270">
                        <w:rPr>
                          <w:rFonts w:ascii="Gill Sans MT" w:hAnsi="Gill Sans MT"/>
                          <w:i/>
                          <w:sz w:val="20"/>
                        </w:rPr>
                        <w:t>United States</w:t>
                      </w:r>
                    </w:p>
                    <w:p w:rsidR="006D58CF" w:rsidRPr="00A05270" w:rsidRDefault="006D58CF" w:rsidP="00BC4EC1">
                      <w:pPr>
                        <w:jc w:val="center"/>
                        <w:rPr>
                          <w:rFonts w:ascii="Gill Sans MT" w:hAnsi="Gill Sans MT"/>
                          <w:i/>
                          <w:sz w:val="20"/>
                        </w:rPr>
                      </w:pPr>
                      <w:r w:rsidRPr="00A05270">
                        <w:rPr>
                          <w:rFonts w:ascii="Gill Sans MT" w:hAnsi="Gill Sans MT"/>
                          <w:i/>
                          <w:sz w:val="20"/>
                        </w:rPr>
                        <w:t>44,450,300</w:t>
                      </w:r>
                      <w:r>
                        <w:rPr>
                          <w:rFonts w:ascii="Gill Sans MT" w:hAnsi="Gill Sans MT"/>
                          <w:i/>
                          <w:sz w:val="20"/>
                        </w:rPr>
                        <w:t xml:space="preserve"> immigrants</w:t>
                      </w:r>
                    </w:p>
                  </w:txbxContent>
                </v:textbox>
              </v:shape>
            </w:pict>
          </mc:Fallback>
        </mc:AlternateContent>
      </w:r>
      <w:r>
        <mc:AlternateContent>
          <mc:Choice Requires="wps">
            <w:drawing>
              <wp:anchor distT="0" distB="0" distL="114300" distR="114300" simplePos="0" relativeHeight="251642368" behindDoc="0" locked="0" layoutInCell="1" allowOverlap="1" wp14:anchorId="5179229B" wp14:editId="2F317E2F">
                <wp:simplePos x="0" y="0"/>
                <wp:positionH relativeFrom="column">
                  <wp:posOffset>326390</wp:posOffset>
                </wp:positionH>
                <wp:positionV relativeFrom="paragraph">
                  <wp:posOffset>48895</wp:posOffset>
                </wp:positionV>
                <wp:extent cx="2553970" cy="467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467360"/>
                        </a:xfrm>
                        <a:prstGeom prst="rect">
                          <a:avLst/>
                        </a:prstGeom>
                        <a:noFill/>
                        <a:ln w="9525">
                          <a:noFill/>
                          <a:miter lim="800000"/>
                          <a:headEnd/>
                          <a:tailEnd/>
                        </a:ln>
                      </wps:spPr>
                      <wps:txbx>
                        <w:txbxContent>
                          <w:p w:rsidR="006D58CF" w:rsidRPr="00A05270" w:rsidRDefault="006D58CF" w:rsidP="00BC4EC1">
                            <w:pPr>
                              <w:jc w:val="center"/>
                              <w:rPr>
                                <w:rFonts w:ascii="Gill Sans MT" w:hAnsi="Gill Sans MT"/>
                                <w:i/>
                                <w:sz w:val="20"/>
                              </w:rPr>
                            </w:pPr>
                            <w:r w:rsidRPr="00A05270">
                              <w:rPr>
                                <w:rFonts w:ascii="Gill Sans MT" w:hAnsi="Gill Sans MT"/>
                                <w:i/>
                                <w:sz w:val="20"/>
                              </w:rPr>
                              <w:t>District of Columbia</w:t>
                            </w:r>
                          </w:p>
                          <w:p w:rsidR="006D58CF" w:rsidRPr="00A05270" w:rsidRDefault="006D58CF" w:rsidP="00BC4EC1">
                            <w:pPr>
                              <w:jc w:val="center"/>
                              <w:rPr>
                                <w:rFonts w:ascii="Gill Sans MT" w:hAnsi="Gill Sans MT"/>
                                <w:i/>
                                <w:sz w:val="20"/>
                              </w:rPr>
                            </w:pPr>
                            <w:r w:rsidRPr="00A05270">
                              <w:rPr>
                                <w:rFonts w:ascii="Gill Sans MT" w:hAnsi="Gill Sans MT"/>
                                <w:i/>
                                <w:sz w:val="20"/>
                              </w:rPr>
                              <w:t>85,300 immigrants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5.7pt;margin-top:3.85pt;width:201.1pt;height:36.8pt;z-index:251642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" filled="f" stroked="f">
                <v:textbox>
                  <w:txbxContent>
                    <w:p w:rsidR="006D58CF" w:rsidRPr="00A05270" w:rsidRDefault="006D58CF" w:rsidP="00BC4EC1">
                      <w:pPr>
                        <w:jc w:val="center"/>
                        <w:rPr>
                          <w:rFonts w:ascii="Gill Sans MT" w:hAnsi="Gill Sans MT"/>
                          <w:i/>
                          <w:sz w:val="20"/>
                        </w:rPr>
                      </w:pPr>
                      <w:r w:rsidRPr="00A05270">
                        <w:rPr>
                          <w:rFonts w:ascii="Gill Sans MT" w:hAnsi="Gill Sans MT"/>
                          <w:i/>
                          <w:sz w:val="20"/>
                        </w:rPr>
                        <w:t>District of Columbia</w:t>
                      </w:r>
                    </w:p>
                    <w:p w:rsidR="006D58CF" w:rsidRPr="00A05270" w:rsidRDefault="006D58CF" w:rsidP="00BC4EC1">
                      <w:pPr>
                        <w:jc w:val="center"/>
                        <w:rPr>
                          <w:rFonts w:ascii="Gill Sans MT" w:hAnsi="Gill Sans MT"/>
                          <w:i/>
                          <w:sz w:val="20"/>
                        </w:rPr>
                      </w:pPr>
                      <w:r w:rsidRPr="00A05270">
                        <w:rPr>
                          <w:rFonts w:ascii="Gill Sans MT" w:hAnsi="Gill Sans MT"/>
                          <w:i/>
                          <w:sz w:val="20"/>
                        </w:rPr>
                        <w:t>85,300 immigrants</w:t>
                      </w:r>
                    </w:p>
                  </w:txbxContent>
                </v:textbox>
              </v:shape>
            </w:pict>
          </mc:Fallback>
        </mc:AlternateContent>
      </w:r>
    </w:p>
    <w:p w:rsidR="00BC4EC1" w:rsidRPr="003420EB" w:rsidRDefault="00130D4E" w:rsidP="00BC4EC1">
      <w:pPr>
        <w:pStyle w:val="FigureandTableNotes"/>
      </w:pPr>
      <w:r>
        <w:rPr>
          <w:noProof/>
        </w:rPr>
        <w:drawing>
          <wp:inline distT="0" distB="0" distL="0" distR="0" wp14:anchorId="18C29DCE" wp14:editId="7D2C9B4F">
            <wp:extent cx="2980055" cy="3386455"/>
            <wp:effectExtent l="0" t="0" r="0" b="444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60F3A">
        <w:rPr>
          <w:noProof/>
        </w:rPr>
        <w:drawing>
          <wp:inline distT="0" distB="0" distL="0" distR="0" wp14:anchorId="334F1DBC" wp14:editId="7D348EAF">
            <wp:extent cx="3005455" cy="3386455"/>
            <wp:effectExtent l="0" t="0" r="4445" b="4445"/>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7E1B" w:rsidRDefault="00BC4EC1" w:rsidP="00B56266">
      <w:pPr>
        <w:pStyle w:val="FigureandTableNotes"/>
      </w:pPr>
      <w:r w:rsidRPr="00E04D63">
        <w:rPr>
          <w:i/>
        </w:rPr>
        <w:t xml:space="preserve">Source: </w:t>
      </w:r>
      <w:r w:rsidRPr="00E04D63">
        <w:t xml:space="preserve">2012 </w:t>
      </w:r>
      <w:r>
        <w:t>three</w:t>
      </w:r>
      <w:r w:rsidRPr="00E04D63">
        <w:t xml:space="preserve">-year data from the American Community Survey, accessed through American </w:t>
      </w:r>
      <w:proofErr w:type="spellStart"/>
      <w:r w:rsidRPr="00E04D63">
        <w:t>FactFinder</w:t>
      </w:r>
      <w:proofErr w:type="spellEnd"/>
      <w:r w:rsidRPr="00E04D63">
        <w:t>.</w:t>
      </w:r>
      <w:r>
        <w:t xml:space="preserve"> </w:t>
      </w:r>
    </w:p>
    <w:p w:rsidR="00B56266" w:rsidRPr="00FF7A05" w:rsidRDefault="00C57E1B" w:rsidP="00B56266">
      <w:pPr>
        <w:pStyle w:val="FigureandTableNotes"/>
      </w:pPr>
      <w:r>
        <w:rPr>
          <w:i/>
        </w:rPr>
        <w:t xml:space="preserve">Note: </w:t>
      </w:r>
      <w:r w:rsidR="00B56266">
        <w:t xml:space="preserve">The top </w:t>
      </w:r>
      <w:r>
        <w:t xml:space="preserve">10 </w:t>
      </w:r>
      <w:r w:rsidR="00B56266">
        <w:t>countries of origin among immigrants in the U</w:t>
      </w:r>
      <w:r>
        <w:t xml:space="preserve">nited </w:t>
      </w:r>
      <w:r w:rsidR="00B56266">
        <w:t>S</w:t>
      </w:r>
      <w:r>
        <w:t>tates</w:t>
      </w:r>
      <w:r w:rsidR="00B56266">
        <w:t xml:space="preserve"> are </w:t>
      </w:r>
      <w:r w:rsidR="00B56266" w:rsidRPr="00FF7A05">
        <w:t>Mexico</w:t>
      </w:r>
      <w:r w:rsidR="00B56266">
        <w:t xml:space="preserve"> (</w:t>
      </w:r>
      <w:r w:rsidR="00B56266" w:rsidRPr="00FF7A05">
        <w:t>28.8%</w:t>
      </w:r>
      <w:r w:rsidR="00B56266">
        <w:t>), China (</w:t>
      </w:r>
      <w:r w:rsidR="00B56266" w:rsidRPr="00FF7A05">
        <w:t>5.5%</w:t>
      </w:r>
      <w:r w:rsidR="00B56266">
        <w:t>), India (</w:t>
      </w:r>
      <w:r w:rsidR="00B56266" w:rsidRPr="00FF7A05">
        <w:t>4.7%</w:t>
      </w:r>
      <w:r w:rsidR="00B56266">
        <w:t xml:space="preserve">), </w:t>
      </w:r>
      <w:r w:rsidR="00B56266" w:rsidRPr="00FF7A05">
        <w:t>Philippines</w:t>
      </w:r>
      <w:r w:rsidR="00B56266">
        <w:t xml:space="preserve"> (</w:t>
      </w:r>
      <w:r w:rsidR="00B56266" w:rsidRPr="00FF7A05">
        <w:t>4.5%</w:t>
      </w:r>
      <w:r w:rsidR="00B56266">
        <w:t>), Vietnam (</w:t>
      </w:r>
      <w:r w:rsidR="00B56266" w:rsidRPr="00FF7A05">
        <w:t>3.1%</w:t>
      </w:r>
      <w:r w:rsidR="00B56266">
        <w:t>), El Salvador (</w:t>
      </w:r>
      <w:r w:rsidR="00B56266" w:rsidRPr="00FF7A05">
        <w:t>3.1%</w:t>
      </w:r>
      <w:r w:rsidR="00B56266">
        <w:t>), Cuba (</w:t>
      </w:r>
      <w:r w:rsidR="00B56266" w:rsidRPr="00FF7A05">
        <w:t>2.7%</w:t>
      </w:r>
      <w:r w:rsidR="00B56266">
        <w:t>), Korea (</w:t>
      </w:r>
      <w:r w:rsidR="00B56266" w:rsidRPr="00FF7A05">
        <w:t>2.7%</w:t>
      </w:r>
      <w:r w:rsidR="00B56266">
        <w:t>), Dominican Republic (</w:t>
      </w:r>
      <w:r w:rsidR="00B56266" w:rsidRPr="00FF7A05">
        <w:t>2.2%</w:t>
      </w:r>
      <w:r w:rsidR="00B56266">
        <w:t>), and Guatemala (</w:t>
      </w:r>
      <w:r w:rsidR="00B56266" w:rsidRPr="00FF7A05">
        <w:t>2.1</w:t>
      </w:r>
      <w:r w:rsidR="00B56266">
        <w:t>%). The top ten countries of origin among immigrants in the District of Columbia are El Salvador (</w:t>
      </w:r>
      <w:r w:rsidR="00B56266" w:rsidRPr="00FF7A05">
        <w:t>15.8%</w:t>
      </w:r>
      <w:r w:rsidR="00B56266">
        <w:t>), Ethiopia (</w:t>
      </w:r>
      <w:r w:rsidR="00B56266" w:rsidRPr="00FF7A05">
        <w:t>6.2%</w:t>
      </w:r>
      <w:r w:rsidR="00B56266">
        <w:t>), Mexico (</w:t>
      </w:r>
      <w:r w:rsidR="00B56266" w:rsidRPr="00FF7A05">
        <w:t>3.6%</w:t>
      </w:r>
      <w:r w:rsidR="00B56266">
        <w:t>), China (</w:t>
      </w:r>
      <w:r w:rsidR="00B56266" w:rsidRPr="00FF7A05">
        <w:t>3.4%</w:t>
      </w:r>
      <w:r w:rsidR="00B56266">
        <w:t>), Guatemala (</w:t>
      </w:r>
      <w:r w:rsidR="00B56266" w:rsidRPr="00FF7A05">
        <w:t>3.0%</w:t>
      </w:r>
      <w:r w:rsidR="00B56266">
        <w:t>), India (</w:t>
      </w:r>
      <w:r w:rsidR="00B56266" w:rsidRPr="00FF7A05">
        <w:t>2.9%</w:t>
      </w:r>
      <w:r w:rsidR="00B56266">
        <w:t>), Nigeria (</w:t>
      </w:r>
      <w:r w:rsidR="00B56266" w:rsidRPr="00FF7A05">
        <w:t>2.4%</w:t>
      </w:r>
      <w:r w:rsidR="00B56266">
        <w:t>), Philippines (</w:t>
      </w:r>
      <w:r w:rsidR="00B56266" w:rsidRPr="00FF7A05">
        <w:t>2.4%</w:t>
      </w:r>
      <w:r w:rsidR="00B56266">
        <w:t>), Jamaica (</w:t>
      </w:r>
      <w:r w:rsidR="00B56266" w:rsidRPr="00FF7A05">
        <w:t>2.3%</w:t>
      </w:r>
      <w:r w:rsidR="00B56266">
        <w:t>), and Trinidad and Tobago (</w:t>
      </w:r>
      <w:r w:rsidR="00B56266" w:rsidRPr="00FF7A05">
        <w:t>2.3%</w:t>
      </w:r>
      <w:r w:rsidR="00B56266">
        <w:t>).</w:t>
      </w:r>
    </w:p>
    <w:p w:rsidR="007B7F28" w:rsidRDefault="007B7F28">
      <w:pPr>
        <w:jc w:val="left"/>
        <w:rPr>
          <w:rFonts w:ascii="Gill Sans MT" w:eastAsia="MS Mincho" w:hAnsi="Gill Sans MT"/>
          <w:b/>
          <w:noProof/>
        </w:rPr>
      </w:pPr>
      <w:r>
        <w:br w:type="page"/>
      </w:r>
    </w:p>
    <w:p w:rsidR="00BC4EC1" w:rsidRDefault="00BC4EC1" w:rsidP="00BC4EC1">
      <w:pPr>
        <w:pStyle w:val="FigureandTableTitle"/>
      </w:pPr>
      <w:r w:rsidRPr="00C57E1B">
        <w:t xml:space="preserve">Figure </w:t>
      </w:r>
      <w:r w:rsidRPr="00C57E1B">
        <w:rPr>
          <w:noProof w:val="0"/>
        </w:rPr>
        <w:fldChar w:fldCharType="begin"/>
      </w:r>
      <w:r w:rsidRPr="00C57E1B">
        <w:instrText xml:space="preserve"> SEQ Figure \* ARABIC </w:instrText>
      </w:r>
      <w:r w:rsidRPr="00C57E1B">
        <w:rPr>
          <w:noProof w:val="0"/>
        </w:rPr>
        <w:fldChar w:fldCharType="separate"/>
      </w:r>
      <w:r w:rsidR="004C37C5">
        <w:t>3</w:t>
      </w:r>
      <w:r w:rsidRPr="00C57E1B">
        <w:fldChar w:fldCharType="end"/>
      </w:r>
      <w:r w:rsidRPr="00C57E1B">
        <w:t>. Number of Immigrants Living in the District of Columbia by World Region of Origin, 1990–201</w:t>
      </w:r>
      <w:r w:rsidR="00C57E1B" w:rsidRPr="00C57E1B">
        <w:t>2</w:t>
      </w:r>
      <w:r w:rsidR="00401F91">
        <w:t xml:space="preserve"> </w:t>
      </w:r>
    </w:p>
    <w:p w:rsidR="00BC4EC1" w:rsidRDefault="00130D4E" w:rsidP="00BC4EC1">
      <w:pPr>
        <w:pStyle w:val="FigureandTableNotes"/>
      </w:pPr>
      <w:r>
        <w:rPr>
          <w:bCs w:val="0"/>
          <w:i/>
          <w:noProof/>
        </w:rPr>
        <w:drawing>
          <wp:anchor distT="0" distB="91440" distL="114300" distR="114300" simplePos="0" relativeHeight="251647488" behindDoc="0" locked="0" layoutInCell="1" allowOverlap="0" wp14:anchorId="6452C429" wp14:editId="563C4B02">
            <wp:simplePos x="0" y="0"/>
            <wp:positionH relativeFrom="margin">
              <wp:align>left</wp:align>
            </wp:positionH>
            <wp:positionV relativeFrom="paragraph">
              <wp:posOffset>45720</wp:posOffset>
            </wp:positionV>
            <wp:extent cx="5943600" cy="3191256"/>
            <wp:effectExtent l="0" t="0" r="0" b="0"/>
            <wp:wrapTopAndBottom/>
            <wp:docPr id="2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C4EC1" w:rsidRPr="00A05270">
        <w:rPr>
          <w:i/>
        </w:rPr>
        <w:t>Source:</w:t>
      </w:r>
      <w:r w:rsidR="00BC4EC1">
        <w:t xml:space="preserve"> </w:t>
      </w:r>
      <w:r w:rsidR="00D04029">
        <w:t>“</w:t>
      </w:r>
      <w:r w:rsidR="00BC4EC1">
        <w:t>State Immigration Data Profiles</w:t>
      </w:r>
      <w:r w:rsidR="00D04029">
        <w:t>:</w:t>
      </w:r>
      <w:r w:rsidR="00BC4EC1">
        <w:t xml:space="preserve"> District of Columbia</w:t>
      </w:r>
      <w:r w:rsidR="000C65D0">
        <w:t xml:space="preserve">,” Migration Policy Institute Data Hub, </w:t>
      </w:r>
      <w:r w:rsidR="000C65D0" w:rsidRPr="000C65D0">
        <w:t>http://www.migrationpolicy.org/data/state-profiles/state/demographics/DC</w:t>
      </w:r>
      <w:r w:rsidR="000C65D0">
        <w:t xml:space="preserve">. Numbers are </w:t>
      </w:r>
      <w:r w:rsidR="00BC4EC1">
        <w:t xml:space="preserve">calculated based on the ACS and IPUMS data. </w:t>
      </w:r>
    </w:p>
    <w:p w:rsidR="00BC4EC1" w:rsidRDefault="00BC4EC1" w:rsidP="00BC4EC1">
      <w:pPr>
        <w:pStyle w:val="FigureandTableNotes"/>
      </w:pPr>
      <w:r>
        <w:rPr>
          <w:i/>
        </w:rPr>
        <w:t xml:space="preserve">Note: </w:t>
      </w:r>
      <w:r>
        <w:t xml:space="preserve">Other includes immigrants from North America and Oceania. </w:t>
      </w:r>
    </w:p>
    <w:p w:rsidR="00BC4EC1" w:rsidRDefault="00BC4EC1" w:rsidP="00BC4EC1">
      <w:pPr>
        <w:spacing w:after="200" w:line="276" w:lineRule="auto"/>
        <w:jc w:val="left"/>
        <w:rPr>
          <w:rFonts w:ascii="Gill Sans MT" w:eastAsia="MS Mincho" w:hAnsi="Gill Sans MT"/>
          <w:b/>
          <w:noProof/>
        </w:rPr>
      </w:pPr>
      <w:r>
        <w:br w:type="page"/>
      </w:r>
    </w:p>
    <w:p w:rsidR="00BC4EC1" w:rsidRDefault="00BC4EC1" w:rsidP="00BC4EC1">
      <w:pPr>
        <w:pStyle w:val="BodyTextFirstIndent"/>
      </w:pPr>
      <w:r>
        <w:t>Work opportunities in the District of Columbia have attracted both high- and low-skilled immigrants. Nearly half of the immigrant population in the District has a bachelor’s degree or higher. This is a much higher share than the national average of 27 percent and is similar to share of native-born DC residents with a bachelor’s degree or higher (53 percent).</w:t>
      </w:r>
      <w:r>
        <w:rPr>
          <w:sz w:val="18"/>
          <w:szCs w:val="20"/>
        </w:rPr>
        <w:t xml:space="preserve"> </w:t>
      </w:r>
      <w:r>
        <w:t xml:space="preserve">While a portion of the immigrant </w:t>
      </w:r>
      <w:r w:rsidR="008F29A3">
        <w:t xml:space="preserve">substantial proportion of the </w:t>
      </w:r>
      <w:r>
        <w:t xml:space="preserve">population is highly educated, 20 percent </w:t>
      </w:r>
      <w:r w:rsidR="008F29A3">
        <w:t xml:space="preserve">have </w:t>
      </w:r>
      <w:r>
        <w:t>less than a high school degree. This is lower than the 31 percent of immigrants in the United States with less than a high school degree, but is still much higher than the 10 percent of native-born individuals in the District with less than a high school degree (figure 4).</w:t>
      </w:r>
    </w:p>
    <w:p w:rsidR="00BC4EC1" w:rsidRDefault="00BC4EC1" w:rsidP="00BC4EC1">
      <w:pPr>
        <w:pStyle w:val="FigureandTableTitle"/>
      </w:pPr>
      <w:r>
        <w:t xml:space="preserve">Figure </w:t>
      </w:r>
      <w:r>
        <w:rPr>
          <w:noProof w:val="0"/>
        </w:rPr>
        <w:fldChar w:fldCharType="begin"/>
      </w:r>
      <w:r>
        <w:instrText xml:space="preserve"> SEQ Figure \* ARABIC </w:instrText>
      </w:r>
      <w:r>
        <w:rPr>
          <w:noProof w:val="0"/>
        </w:rPr>
        <w:fldChar w:fldCharType="separate"/>
      </w:r>
      <w:r w:rsidR="004C37C5">
        <w:t>4</w:t>
      </w:r>
      <w:r>
        <w:fldChar w:fldCharType="end"/>
      </w:r>
      <w:r>
        <w:t>. Educational Attainment of Immigrants versus the Native-Born Population in the District of Columbia</w:t>
      </w:r>
    </w:p>
    <w:p w:rsidR="00BC4EC1" w:rsidRDefault="00130D4E" w:rsidP="00BC4EC1">
      <w:pPr>
        <w:pStyle w:val="FigureandTableNotes"/>
      </w:pPr>
      <w:r>
        <w:rPr>
          <w:bCs w:val="0"/>
          <w:noProof/>
          <w:color w:val="FFFFFF"/>
        </w:rPr>
        <w:drawing>
          <wp:anchor distT="0" distB="91440" distL="120396" distR="116173" simplePos="0" relativeHeight="251648512" behindDoc="0" locked="0" layoutInCell="1" allowOverlap="0" wp14:anchorId="62167E11" wp14:editId="13EF3310">
            <wp:simplePos x="0" y="0"/>
            <wp:positionH relativeFrom="margin">
              <wp:align>left</wp:align>
            </wp:positionH>
            <wp:positionV relativeFrom="paragraph">
              <wp:posOffset>91440</wp:posOffset>
            </wp:positionV>
            <wp:extent cx="6082030" cy="2741295"/>
            <wp:effectExtent l="0" t="0" r="0" b="1905"/>
            <wp:wrapTopAndBottom/>
            <wp:docPr id="2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C4EC1" w:rsidRPr="00E04D63">
        <w:rPr>
          <w:i/>
        </w:rPr>
        <w:t xml:space="preserve">Source: </w:t>
      </w:r>
      <w:r w:rsidR="00BC4EC1" w:rsidRPr="00E04D63">
        <w:t xml:space="preserve">2012 </w:t>
      </w:r>
      <w:r w:rsidR="00BC4EC1">
        <w:t>three</w:t>
      </w:r>
      <w:r w:rsidR="00BC4EC1" w:rsidRPr="00E04D63">
        <w:t xml:space="preserve">-year data from the American Community Survey, accessed through American </w:t>
      </w:r>
      <w:proofErr w:type="spellStart"/>
      <w:r w:rsidR="00BC4EC1" w:rsidRPr="00E04D63">
        <w:t>FactFinder</w:t>
      </w:r>
      <w:proofErr w:type="spellEnd"/>
      <w:r w:rsidR="00BC4EC1" w:rsidRPr="00E04D63">
        <w:t>.</w:t>
      </w:r>
    </w:p>
    <w:p w:rsidR="00BC4EC1" w:rsidRDefault="00BC4EC1" w:rsidP="00BC4EC1">
      <w:pPr>
        <w:pStyle w:val="BodyTextFirstIndent"/>
      </w:pPr>
      <w:r>
        <w:t xml:space="preserve">The District attracts both highly educated and less-educated immigrants based on its job opportunities. </w:t>
      </w:r>
      <w:r w:rsidRPr="007D69C9">
        <w:t>Figure 5 presents the fastest growing occupations in the District and the share of immigrants working in those occupations.</w:t>
      </w:r>
      <w:r>
        <w:t xml:space="preserve"> The high-growth occupations are a mix of high-skilled and low-skilled occupations, and immigrants constitute a substantial share of workers in high-growth industries. While immigrants make up only 19.8 percent of the workforce in the District overall, they are well over 20 percent of individuals working in 5 of the top 10 high-growth occupations. Well over half of the individuals in the District working in </w:t>
      </w:r>
      <w:r w:rsidRPr="003E6633">
        <w:t xml:space="preserve">building </w:t>
      </w:r>
      <w:r>
        <w:t>and</w:t>
      </w:r>
      <w:r w:rsidRPr="003E6633">
        <w:t xml:space="preserve"> grounds cleaning </w:t>
      </w:r>
      <w:r>
        <w:t>and</w:t>
      </w:r>
      <w:r w:rsidRPr="003E6633">
        <w:t xml:space="preserve"> maintenance</w:t>
      </w:r>
      <w:r>
        <w:t xml:space="preserve"> are immigrants, and more than a third of individuals working in food preparation and serving related occupations are immigrants. Additionally, immigrants make up almost a quarter of all individuals working in health care practitioner and technical occupations and in health care support occupations. </w:t>
      </w:r>
    </w:p>
    <w:p w:rsidR="00BC4EC1" w:rsidRDefault="00BC4EC1" w:rsidP="00BC4EC1">
      <w:pPr>
        <w:pStyle w:val="BodyTextFirstIndent"/>
      </w:pPr>
      <w:r w:rsidRPr="00E04D63">
        <w:t>Immigrants in the District have extremely high labor force participation and employment</w:t>
      </w:r>
      <w:r>
        <w:t xml:space="preserve"> rates</w:t>
      </w:r>
      <w:r w:rsidRPr="00E04D63">
        <w:t>.</w:t>
      </w:r>
      <w:r>
        <w:t xml:space="preserve"> </w:t>
      </w:r>
      <w:r w:rsidRPr="007D69C9">
        <w:t>One in five workers living in the District is an immigrant. In the District, immigrants are much more lik</w:t>
      </w:r>
      <w:r>
        <w:t xml:space="preserve">ely to be employed than the native-born population. This is the result of both higher labor force participation rates and higher employment rates among those in the labor force. </w:t>
      </w:r>
      <w:r w:rsidRPr="00E04D63">
        <w:t xml:space="preserve">The labor force participation rate for immigrants age 18 and </w:t>
      </w:r>
      <w:r>
        <w:t xml:space="preserve">older </w:t>
      </w:r>
      <w:r w:rsidRPr="00E04D63">
        <w:t>is 79</w:t>
      </w:r>
      <w:r>
        <w:t xml:space="preserve"> percent, while</w:t>
      </w:r>
      <w:r w:rsidRPr="00E04D63">
        <w:t xml:space="preserve"> the </w:t>
      </w:r>
      <w:r>
        <w:t xml:space="preserve">rate for </w:t>
      </w:r>
      <w:r w:rsidRPr="00E04D63">
        <w:t xml:space="preserve">native-born age 18 and </w:t>
      </w:r>
      <w:r w:rsidR="008F29A3">
        <w:t xml:space="preserve">older </w:t>
      </w:r>
      <w:r w:rsidRPr="00E04D63">
        <w:t>is 72</w:t>
      </w:r>
      <w:r>
        <w:t xml:space="preserve"> percent</w:t>
      </w:r>
      <w:r w:rsidRPr="00E04D63">
        <w:t xml:space="preserve">. </w:t>
      </w:r>
      <w:r>
        <w:t xml:space="preserve">Among </w:t>
      </w:r>
      <w:r w:rsidRPr="00017882">
        <w:t xml:space="preserve">those participating in the labor force, immigrants also have higher </w:t>
      </w:r>
      <w:r>
        <w:t xml:space="preserve">employment </w:t>
      </w:r>
      <w:r w:rsidRPr="00017882">
        <w:t>rate</w:t>
      </w:r>
      <w:r>
        <w:t>s</w:t>
      </w:r>
      <w:r w:rsidRPr="00017882">
        <w:t xml:space="preserve"> than the native</w:t>
      </w:r>
      <w:r w:rsidRPr="00E04D63">
        <w:t>-</w:t>
      </w:r>
      <w:r w:rsidRPr="00017882">
        <w:t>born population; approximately 91</w:t>
      </w:r>
      <w:r>
        <w:t xml:space="preserve"> percent</w:t>
      </w:r>
      <w:r w:rsidRPr="00017882">
        <w:t xml:space="preserve"> of immigrants are employed compared </w:t>
      </w:r>
      <w:r>
        <w:t xml:space="preserve">with </w:t>
      </w:r>
      <w:r w:rsidRPr="00017882">
        <w:t>88</w:t>
      </w:r>
      <w:r>
        <w:t xml:space="preserve"> percent</w:t>
      </w:r>
      <w:r w:rsidRPr="00017882">
        <w:t xml:space="preserve"> of the native-born population. </w:t>
      </w:r>
      <w:r>
        <w:t xml:space="preserve">In addition to being more likely to be employed, </w:t>
      </w:r>
      <w:r w:rsidR="008F29A3">
        <w:t>a</w:t>
      </w:r>
      <w:r>
        <w:t xml:space="preserve">ccording to </w:t>
      </w:r>
      <w:r w:rsidR="008F29A3">
        <w:t xml:space="preserve">the </w:t>
      </w:r>
      <w:r>
        <w:t>Fiscal Policy Institute, immigrant</w:t>
      </w:r>
      <w:r w:rsidR="008F29A3">
        <w:t xml:space="preserve"> workers</w:t>
      </w:r>
      <w:r>
        <w:t xml:space="preserve"> </w:t>
      </w:r>
      <w:r w:rsidR="008F29A3">
        <w:t xml:space="preserve">living in the District </w:t>
      </w:r>
      <w:r>
        <w:t>are</w:t>
      </w:r>
      <w:r w:rsidR="008F29A3">
        <w:t>, also,</w:t>
      </w:r>
      <w:r>
        <w:t xml:space="preserve"> 10 percent more likely to be business-owners than native-born workers </w:t>
      </w:r>
      <w:r w:rsidRPr="00C62725">
        <w:t>(</w:t>
      </w:r>
      <w:proofErr w:type="spellStart"/>
      <w:r w:rsidRPr="00A05270">
        <w:t>Kallic</w:t>
      </w:r>
      <w:r>
        <w:t>k</w:t>
      </w:r>
      <w:proofErr w:type="spellEnd"/>
      <w:r w:rsidRPr="00A05270">
        <w:t>,</w:t>
      </w:r>
      <w:r w:rsidRPr="00C62725">
        <w:t xml:space="preserve"> Parrot</w:t>
      </w:r>
      <w:r>
        <w:t>t</w:t>
      </w:r>
      <w:r w:rsidRPr="00C62725">
        <w:t xml:space="preserve">, </w:t>
      </w:r>
      <w:r>
        <w:t>and</w:t>
      </w:r>
      <w:r w:rsidRPr="00C62725">
        <w:t xml:space="preserve"> Mauro 2012).</w:t>
      </w:r>
      <w:r>
        <w:t xml:space="preserve"> </w:t>
      </w:r>
    </w:p>
    <w:p w:rsidR="00BC4EC1" w:rsidRDefault="00BC4EC1" w:rsidP="00BC4EC1">
      <w:pPr>
        <w:pStyle w:val="FigureandTableTitle"/>
      </w:pPr>
      <w:r>
        <w:t xml:space="preserve">Figure </w:t>
      </w:r>
      <w:r>
        <w:rPr>
          <w:noProof w:val="0"/>
        </w:rPr>
        <w:fldChar w:fldCharType="begin"/>
      </w:r>
      <w:r>
        <w:instrText xml:space="preserve"> SEQ Figure \* ARABIC </w:instrText>
      </w:r>
      <w:r>
        <w:rPr>
          <w:noProof w:val="0"/>
        </w:rPr>
        <w:fldChar w:fldCharType="separate"/>
      </w:r>
      <w:r w:rsidR="004C37C5">
        <w:t>5</w:t>
      </w:r>
      <w:r>
        <w:fldChar w:fldCharType="end"/>
      </w:r>
      <w:r>
        <w:t>. Share of Immigrants and Native-Born Working in High-Growth Occupations in the District of Columbia</w:t>
      </w:r>
      <w:r w:rsidR="008F29A3">
        <w:t>, 2012</w:t>
      </w:r>
    </w:p>
    <w:p w:rsidR="00BC4EC1" w:rsidRDefault="00130D4E" w:rsidP="00BC4EC1">
      <w:pPr>
        <w:pStyle w:val="FigureandTableNotes"/>
      </w:pPr>
      <w:r>
        <w:rPr>
          <w:bCs w:val="0"/>
          <w:noProof/>
        </w:rPr>
        <w:drawing>
          <wp:anchor distT="0" distB="91440" distL="120396" distR="114300" simplePos="0" relativeHeight="251646464" behindDoc="0" locked="0" layoutInCell="1" allowOverlap="0" wp14:anchorId="5A869AF8" wp14:editId="78F3F1BC">
            <wp:simplePos x="0" y="0"/>
            <wp:positionH relativeFrom="margin">
              <wp:align>left</wp:align>
            </wp:positionH>
            <wp:positionV relativeFrom="paragraph">
              <wp:posOffset>91440</wp:posOffset>
            </wp:positionV>
            <wp:extent cx="6165850" cy="4178300"/>
            <wp:effectExtent l="0" t="0" r="6350" b="0"/>
            <wp:wrapTopAndBottom/>
            <wp:docPr id="1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C4EC1" w:rsidRPr="00E04D63">
        <w:rPr>
          <w:i/>
        </w:rPr>
        <w:t>Source</w:t>
      </w:r>
      <w:r w:rsidR="00BC4EC1">
        <w:rPr>
          <w:i/>
        </w:rPr>
        <w:t>s</w:t>
      </w:r>
      <w:r w:rsidR="00BC4EC1" w:rsidRPr="00E04D63">
        <w:rPr>
          <w:i/>
        </w:rPr>
        <w:t xml:space="preserve">: </w:t>
      </w:r>
      <w:r w:rsidR="00BC4EC1" w:rsidRPr="00E04D63">
        <w:t>Projections of fast-growth</w:t>
      </w:r>
      <w:r w:rsidR="00BC4EC1">
        <w:t>, by number,</w:t>
      </w:r>
      <w:r w:rsidR="00BC4EC1" w:rsidRPr="00E04D63">
        <w:t xml:space="preserve"> occupational categories </w:t>
      </w:r>
      <w:r w:rsidR="00BC4EC1">
        <w:t xml:space="preserve">from </w:t>
      </w:r>
      <w:r w:rsidR="00BC4EC1" w:rsidRPr="00E04D63">
        <w:t>“Metropolitan Statistical Area 2010</w:t>
      </w:r>
      <w:r w:rsidR="00BC4EC1">
        <w:t>–</w:t>
      </w:r>
      <w:r w:rsidR="00BC4EC1" w:rsidRPr="00E04D63">
        <w:t>2020 Industry</w:t>
      </w:r>
      <w:r w:rsidR="00BC4EC1">
        <w:t xml:space="preserve"> and Occupational Projections</w:t>
      </w:r>
      <w:r w:rsidR="00BC4EC1" w:rsidRPr="007E7D8A">
        <w:t xml:space="preserve">,” </w:t>
      </w:r>
      <w:r w:rsidR="00BC4EC1" w:rsidRPr="00E04D63">
        <w:t xml:space="preserve">DC Department of Employment Services, </w:t>
      </w:r>
      <w:r w:rsidR="00BC4EC1">
        <w:t xml:space="preserve">July 9, </w:t>
      </w:r>
      <w:r w:rsidR="00BC4EC1" w:rsidRPr="00E04D63">
        <w:t xml:space="preserve">2012, </w:t>
      </w:r>
      <w:hyperlink r:id="rId16" w:history="1">
        <w:r w:rsidR="00BC4EC1" w:rsidRPr="00A05270">
          <w:t>http://does.dc.gov/node/184892</w:t>
        </w:r>
      </w:hyperlink>
      <w:r w:rsidR="00BC4EC1" w:rsidRPr="00A05270">
        <w:t xml:space="preserve">. </w:t>
      </w:r>
      <w:r w:rsidR="00BC4EC1">
        <w:t xml:space="preserve">Immigrant shares calculated using </w:t>
      </w:r>
      <w:r w:rsidR="00BC4EC1" w:rsidRPr="00E04D63">
        <w:t xml:space="preserve">the share of employed workers in the occupation in 2012 who were foreign-born, based on the 2012 </w:t>
      </w:r>
      <w:r w:rsidR="00BC4EC1">
        <w:t>three</w:t>
      </w:r>
      <w:r w:rsidR="00BC4EC1" w:rsidRPr="00E04D63">
        <w:t xml:space="preserve">-year ACS PUMS data accessed through </w:t>
      </w:r>
      <w:r w:rsidR="00BC4EC1">
        <w:t>IPUMS</w:t>
      </w:r>
      <w:r w:rsidR="00BC4EC1" w:rsidRPr="00E04D63">
        <w:t>.</w:t>
      </w:r>
    </w:p>
    <w:p w:rsidR="00BC4EC1" w:rsidRPr="0051237E" w:rsidRDefault="00BC4EC1" w:rsidP="00BC4EC1">
      <w:pPr>
        <w:pStyle w:val="BodyTextFirstIndent"/>
      </w:pPr>
      <w:r>
        <w:t xml:space="preserve">Immigrants in the District have income and tax contribution levels as the native-born population. In the District, the median income of immigrant households is about $65,000, </w:t>
      </w:r>
      <w:r w:rsidRPr="00382393">
        <w:t>which is similar to native-born households at about $63,000.</w:t>
      </w:r>
      <w:r>
        <w:t xml:space="preserve"> </w:t>
      </w:r>
      <w:r w:rsidRPr="00382393">
        <w:t>A</w:t>
      </w:r>
      <w:r>
        <w:t>n</w:t>
      </w:r>
      <w:r w:rsidRPr="00382393">
        <w:t xml:space="preserve"> Urban Institute study found that in 2000 immigrants living in the District of Columbia paid close to </w:t>
      </w:r>
      <w:r>
        <w:t>$</w:t>
      </w:r>
      <w:r w:rsidRPr="00382393">
        <w:t>1 billion in federal, state</w:t>
      </w:r>
      <w:r>
        <w:t>,</w:t>
      </w:r>
      <w:r w:rsidRPr="00382393">
        <w:t xml:space="preserve"> and local taxes</w:t>
      </w:r>
      <w:r>
        <w:t xml:space="preserve"> (Capps et al. 2006)</w:t>
      </w:r>
      <w:r w:rsidRPr="00382393">
        <w:t>.</w:t>
      </w:r>
      <w:r>
        <w:t xml:space="preserve"> </w:t>
      </w:r>
      <w:r w:rsidRPr="00382393">
        <w:t>This accounted for 16</w:t>
      </w:r>
      <w:r>
        <w:t xml:space="preserve"> percent</w:t>
      </w:r>
      <w:r w:rsidRPr="00382393">
        <w:t xml:space="preserve"> of the total taxes paid by DC residents. The </w:t>
      </w:r>
      <w:r>
        <w:t xml:space="preserve">same study </w:t>
      </w:r>
      <w:r w:rsidRPr="00382393">
        <w:t>found variation in the size of tax payments for both the</w:t>
      </w:r>
      <w:r>
        <w:t xml:space="preserve"> native-born and immigrant populations based on education: both immigrant and native-born households with higher levels of education paid more in taxes. While immigrants with less than a high school education paid less than households with higher levels of education, those with less than a high school education also contributed more in taxes than similarly educated native-born households. </w:t>
      </w:r>
    </w:p>
    <w:p w:rsidR="00BC4EC1" w:rsidRDefault="00BC4EC1">
      <w:pPr>
        <w:spacing w:after="200" w:line="276" w:lineRule="auto"/>
        <w:jc w:val="left"/>
        <w:rPr>
          <w:rFonts w:ascii="Gill Sans MT" w:eastAsia="MS Gothic" w:hAnsi="Gill Sans MT"/>
          <w:b/>
          <w:bCs/>
          <w:color w:val="3090C4"/>
          <w:sz w:val="32"/>
          <w:szCs w:val="32"/>
        </w:rPr>
      </w:pPr>
      <w:r>
        <w:br w:type="page"/>
      </w:r>
    </w:p>
    <w:p w:rsidR="00BC4EC1" w:rsidRPr="008021A1" w:rsidRDefault="00BC4EC1" w:rsidP="00BC4EC1">
      <w:pPr>
        <w:pStyle w:val="Heading1"/>
      </w:pPr>
      <w:bookmarkStart w:id="5" w:name="_Toc384741707"/>
      <w:r w:rsidRPr="008021A1">
        <w:t>The Creation of DC’s Language Access Program</w:t>
      </w:r>
      <w:bookmarkEnd w:id="5"/>
    </w:p>
    <w:p w:rsidR="00BC4EC1" w:rsidRPr="008A339F" w:rsidRDefault="00BC4EC1" w:rsidP="00BC4EC1">
      <w:pPr>
        <w:pStyle w:val="Heading2"/>
      </w:pPr>
      <w:bookmarkStart w:id="6" w:name="_Toc384741708"/>
      <w:r w:rsidRPr="008A339F">
        <w:t>The Context for Passage</w:t>
      </w:r>
      <w:bookmarkEnd w:id="6"/>
    </w:p>
    <w:p w:rsidR="00BC4EC1" w:rsidRDefault="00BC4EC1" w:rsidP="00BC4EC1">
      <w:pPr>
        <w:pStyle w:val="BodyText"/>
      </w:pPr>
      <w:r w:rsidRPr="00A05270">
        <w:t>Washington, DC</w:t>
      </w:r>
      <w:r w:rsidRPr="007D69C9">
        <w:t>,</w:t>
      </w:r>
      <w:r w:rsidRPr="00A05270">
        <w:t xml:space="preserve"> is one of </w:t>
      </w:r>
      <w:r w:rsidRPr="007D69C9">
        <w:t xml:space="preserve">the </w:t>
      </w:r>
      <w:r w:rsidRPr="00A05270">
        <w:t xml:space="preserve">few municipalities in the </w:t>
      </w:r>
      <w:r w:rsidRPr="007D69C9">
        <w:t xml:space="preserve">country with </w:t>
      </w:r>
      <w:r w:rsidRPr="00A05270">
        <w:t>a formal language access law.</w:t>
      </w:r>
      <w:r w:rsidRPr="00A05270">
        <w:rPr>
          <w:vertAlign w:val="superscript"/>
        </w:rPr>
        <w:endnoteReference w:id="2"/>
      </w:r>
      <w:r w:rsidRPr="007D69C9">
        <w:t xml:space="preserve"> The Language Access Act of 2004 resulted from a grassroots process in which community-based organizations serving immigrant and LEP/NEP populations in the District </w:t>
      </w:r>
      <w:r w:rsidRPr="00A05270">
        <w:t>created</w:t>
      </w:r>
      <w:r w:rsidRPr="007D69C9">
        <w:t xml:space="preserve"> a formal coalition, the DC Language Access Coalition (DCLAC). This followed years of work in the community by immigrant-serving organizations, particularly Latino organizations advocating for Spanish-language services. The District had a history of providing access to city services for Spanish-speaking residents. The 1974 Bilingual Translation Services Act and the 1976 “Spanish Language Laws” were attempts to respond to the needs of LEP/NEP residents in the District. As the metropolitan region became an increasingly diverse immigration hub, with the number of foreign-born residents rising from 128,000 in 1970 to 832,000 in 2000 and increasing numbers of immigrants arriving from various parts of Africa and Asia, the need for multilingual language access support became more pressing (Singer and Wilson 2004). The DCLAC brought Latino organizations together with other groups representing Asian and African population needs in the District to highlight the need for greater access and advocate together for LEP/NEP residents.</w:t>
      </w:r>
    </w:p>
    <w:p w:rsidR="00BC4EC1" w:rsidRDefault="00BC4EC1" w:rsidP="00EE5261">
      <w:pPr>
        <w:pStyle w:val="BodyTextFirstIndent"/>
      </w:pPr>
      <w:r>
        <w:t xml:space="preserve">Living in or doing business in the District presented numerous language access challenges to LEP/NEP individuals. As members of the community, LEP/NEP individuals encountered public services in myriad ways, from </w:t>
      </w:r>
      <w:r w:rsidRPr="0051237E">
        <w:t>riding on public transportation</w:t>
      </w:r>
      <w:r>
        <w:t>,</w:t>
      </w:r>
      <w:r w:rsidRPr="0051237E">
        <w:t xml:space="preserve"> to interacting with their children’s teachers and school administrators</w:t>
      </w:r>
      <w:r>
        <w:t>,</w:t>
      </w:r>
      <w:r w:rsidRPr="0051237E">
        <w:t xml:space="preserve"> </w:t>
      </w:r>
      <w:r>
        <w:t xml:space="preserve">to </w:t>
      </w:r>
      <w:r w:rsidRPr="00100AC9">
        <w:t xml:space="preserve">obtaining business licenses and driver’s licenses, </w:t>
      </w:r>
      <w:r w:rsidRPr="00B23DF3">
        <w:t>applying for public benefits</w:t>
      </w:r>
      <w:r w:rsidRPr="0051237E">
        <w:t xml:space="preserve">, and </w:t>
      </w:r>
      <w:r>
        <w:t>engaging with</w:t>
      </w:r>
      <w:r w:rsidRPr="0051237E">
        <w:t xml:space="preserve"> service</w:t>
      </w:r>
      <w:r>
        <w:t xml:space="preserve"> </w:t>
      </w:r>
      <w:r w:rsidRPr="0051237E">
        <w:t>providers and agencies. M</w:t>
      </w:r>
      <w:r w:rsidRPr="00100AC9">
        <w:t xml:space="preserve">ost interactions </w:t>
      </w:r>
      <w:r>
        <w:t xml:space="preserve">of this type </w:t>
      </w:r>
      <w:r w:rsidRPr="00100AC9">
        <w:t xml:space="preserve">require </w:t>
      </w:r>
      <w:r>
        <w:t xml:space="preserve">reading and </w:t>
      </w:r>
      <w:r w:rsidRPr="00100AC9">
        <w:t xml:space="preserve">filling out forms and </w:t>
      </w:r>
      <w:r w:rsidRPr="0051237E">
        <w:t xml:space="preserve">verbally </w:t>
      </w:r>
      <w:r w:rsidRPr="00B23DF3">
        <w:t xml:space="preserve">communicating with frontline staff </w:t>
      </w:r>
      <w:r>
        <w:t xml:space="preserve">or </w:t>
      </w:r>
      <w:r w:rsidRPr="00B23DF3">
        <w:t>administrators.</w:t>
      </w:r>
      <w:r>
        <w:t xml:space="preserve"> The DCLAC and other stakeholders recognized that the processes </w:t>
      </w:r>
      <w:r w:rsidRPr="00B23DF3">
        <w:t>present</w:t>
      </w:r>
      <w:r>
        <w:t>ed</w:t>
      </w:r>
      <w:r w:rsidRPr="00B23DF3">
        <w:t xml:space="preserve"> potential language barriers</w:t>
      </w:r>
      <w:r>
        <w:t xml:space="preserve"> and advocated for the language access policy.</w:t>
      </w:r>
    </w:p>
    <w:p w:rsidR="00BC4EC1" w:rsidRPr="000817BE" w:rsidRDefault="00BC4EC1" w:rsidP="00BC4EC1">
      <w:pPr>
        <w:pStyle w:val="BodyTextFirstIndent"/>
      </w:pPr>
      <w:r w:rsidRPr="000817BE">
        <w:t>The DC Language Access Act was passed and signed into law on April 21, 2004.</w:t>
      </w:r>
      <w:r>
        <w:t xml:space="preserve"> At the time, </w:t>
      </w:r>
      <w:r w:rsidRPr="000817BE">
        <w:t xml:space="preserve">language access was </w:t>
      </w:r>
      <w:r>
        <w:t xml:space="preserve">an issue </w:t>
      </w:r>
      <w:r w:rsidRPr="000817BE">
        <w:t>resonating at the</w:t>
      </w:r>
      <w:r>
        <w:t xml:space="preserve"> local, state, and</w:t>
      </w:r>
      <w:r w:rsidRPr="000817BE">
        <w:t xml:space="preserve"> federal level</w:t>
      </w:r>
      <w:r>
        <w:t>s. In 2000,</w:t>
      </w:r>
      <w:r w:rsidRPr="000817BE">
        <w:t xml:space="preserve"> </w:t>
      </w:r>
      <w:r>
        <w:t>President Clinton signed an executive order requiring</w:t>
      </w:r>
      <w:r w:rsidRPr="000817BE">
        <w:t xml:space="preserve"> all federally</w:t>
      </w:r>
      <w:r>
        <w:t xml:space="preserve"> </w:t>
      </w:r>
      <w:r w:rsidRPr="000817BE">
        <w:t xml:space="preserve">funded agencies to </w:t>
      </w:r>
      <w:r>
        <w:t>create</w:t>
      </w:r>
      <w:r w:rsidRPr="000817BE">
        <w:t xml:space="preserve"> language access plans. Several state and local jurisdictions passed formal legislation to implement language access </w:t>
      </w:r>
      <w:r>
        <w:t>in their areas</w:t>
      </w:r>
      <w:r w:rsidRPr="000817BE">
        <w:t>, including San Francisco</w:t>
      </w:r>
      <w:r>
        <w:t xml:space="preserve"> and Oakland in</w:t>
      </w:r>
      <w:r w:rsidRPr="000817BE">
        <w:t xml:space="preserve"> 2001</w:t>
      </w:r>
      <w:r>
        <w:t xml:space="preserve"> and New York City</w:t>
      </w:r>
      <w:r w:rsidRPr="000817BE">
        <w:t xml:space="preserve"> </w:t>
      </w:r>
      <w:r>
        <w:t>in</w:t>
      </w:r>
      <w:r w:rsidRPr="000817BE">
        <w:t xml:space="preserve"> </w:t>
      </w:r>
      <w:r w:rsidRPr="00C62725">
        <w:t>2003 (American University Washington College of Law Immigration Justice Clinic 2012).</w:t>
      </w:r>
      <w:r w:rsidRPr="00A05270">
        <w:rPr>
          <w:rStyle w:val="EndnoteReference"/>
        </w:rPr>
        <w:endnoteReference w:id="3"/>
      </w:r>
    </w:p>
    <w:p w:rsidR="00BC4EC1" w:rsidRPr="000817BE" w:rsidRDefault="00BC4EC1" w:rsidP="00BC4EC1">
      <w:pPr>
        <w:pStyle w:val="Heading2"/>
      </w:pPr>
      <w:bookmarkStart w:id="7" w:name="_Toc384741709"/>
      <w:r w:rsidRPr="000817BE">
        <w:t xml:space="preserve">The </w:t>
      </w:r>
      <w:r>
        <w:t xml:space="preserve">Provisions of the Language Access </w:t>
      </w:r>
      <w:r w:rsidRPr="000817BE">
        <w:t>Act</w:t>
      </w:r>
      <w:bookmarkEnd w:id="7"/>
    </w:p>
    <w:p w:rsidR="00BC4EC1" w:rsidRPr="000817BE" w:rsidRDefault="00BC4EC1" w:rsidP="00BC4EC1">
      <w:pPr>
        <w:pStyle w:val="BodyText"/>
      </w:pPr>
      <w:r w:rsidRPr="000817BE">
        <w:t xml:space="preserve">The major features of the </w:t>
      </w:r>
      <w:r>
        <w:t xml:space="preserve">Language Access </w:t>
      </w:r>
      <w:r w:rsidRPr="000817BE">
        <w:t xml:space="preserve">Act include requirements for all </w:t>
      </w:r>
      <w:r>
        <w:t xml:space="preserve">District government programs, departments, and services </w:t>
      </w:r>
      <w:r w:rsidRPr="000817BE">
        <w:t xml:space="preserve">with “major public contact” to assess and </w:t>
      </w:r>
      <w:r>
        <w:t xml:space="preserve">meet </w:t>
      </w:r>
      <w:r w:rsidRPr="000817BE">
        <w:t>the language needs of “the population served or encountered, or likely to be served or encountered</w:t>
      </w:r>
      <w:r>
        <w:t>.</w:t>
      </w:r>
      <w:r w:rsidRPr="000817BE">
        <w:t>”</w:t>
      </w:r>
      <w:r>
        <w:t xml:space="preserve"> </w:t>
      </w:r>
      <w:r w:rsidRPr="000817BE">
        <w:t xml:space="preserve">Entities </w:t>
      </w:r>
      <w:r>
        <w:t>a</w:t>
      </w:r>
      <w:r w:rsidRPr="000817BE">
        <w:t>re required to provide oral interpretation</w:t>
      </w:r>
      <w:r>
        <w:t xml:space="preserve"> services</w:t>
      </w:r>
      <w:r w:rsidRPr="000817BE">
        <w:t xml:space="preserve"> </w:t>
      </w:r>
      <w:r>
        <w:t xml:space="preserve">to all clients and annually assess their oral interpretation services </w:t>
      </w:r>
      <w:r w:rsidRPr="000817BE">
        <w:t>based on a four-point test, following a similar</w:t>
      </w:r>
      <w:r>
        <w:t xml:space="preserve"> approach to federal </w:t>
      </w:r>
      <w:r w:rsidRPr="00C62725">
        <w:t>guidelines</w:t>
      </w:r>
      <w:r>
        <w:t xml:space="preserve"> </w:t>
      </w:r>
      <w:r w:rsidRPr="00C62725">
        <w:t>(US Department of Justice 2011</w:t>
      </w:r>
      <w:r>
        <w:t>):</w:t>
      </w:r>
    </w:p>
    <w:p w:rsidR="00BC4EC1" w:rsidRPr="00876BBF" w:rsidRDefault="00BC4EC1" w:rsidP="00BC4EC1">
      <w:pPr>
        <w:pStyle w:val="ListNumber"/>
      </w:pPr>
      <w:r w:rsidRPr="00876BBF">
        <w:t>The number or proportion of limited or non</w:t>
      </w:r>
      <w:r>
        <w:t>–</w:t>
      </w:r>
      <w:r w:rsidRPr="00876BBF">
        <w:t>English proficient persons of the population served or encountered, or likely to be served or encountered by the covered entity, in the District of Columbia;</w:t>
      </w:r>
    </w:p>
    <w:p w:rsidR="00BC4EC1" w:rsidRPr="00876BBF" w:rsidRDefault="00BC4EC1" w:rsidP="00BC4EC1">
      <w:pPr>
        <w:pStyle w:val="ListNumber"/>
      </w:pPr>
      <w:r w:rsidRPr="00876BBF">
        <w:t>The frequency with which limited or non-English proficient individuals come into contact with the covered entity;</w:t>
      </w:r>
    </w:p>
    <w:p w:rsidR="00BC4EC1" w:rsidRPr="00876BBF" w:rsidRDefault="00BC4EC1" w:rsidP="00BC4EC1">
      <w:pPr>
        <w:pStyle w:val="ListNumber"/>
      </w:pPr>
      <w:r w:rsidRPr="00876BBF">
        <w:t>The importance of the service provided by the covered entity; and</w:t>
      </w:r>
    </w:p>
    <w:p w:rsidR="00BC4EC1" w:rsidRDefault="00BC4EC1" w:rsidP="00BC4EC1">
      <w:pPr>
        <w:pStyle w:val="ListNumber"/>
      </w:pPr>
      <w:r w:rsidRPr="00876BBF">
        <w:t>The resources available to the covered entity.</w:t>
      </w:r>
      <w:r w:rsidRPr="00A05270">
        <w:rPr>
          <w:rStyle w:val="EndnoteReference"/>
        </w:rPr>
        <w:endnoteReference w:id="4"/>
      </w:r>
    </w:p>
    <w:p w:rsidR="00BC4EC1" w:rsidRDefault="00BC4EC1" w:rsidP="00BC4EC1">
      <w:pPr>
        <w:pStyle w:val="BodyTextFirstIndent"/>
      </w:pPr>
      <w:r w:rsidRPr="000817BE">
        <w:t xml:space="preserve">Entities </w:t>
      </w:r>
      <w:r>
        <w:t>a</w:t>
      </w:r>
      <w:r w:rsidRPr="000817BE">
        <w:t xml:space="preserve">re also required to provide written translations of documents and oral interpretation services for any language spoken by an </w:t>
      </w:r>
      <w:r>
        <w:t>LEP/NEP</w:t>
      </w:r>
      <w:r w:rsidRPr="000817BE">
        <w:t xml:space="preserve"> population that constitutes 3</w:t>
      </w:r>
      <w:r>
        <w:t xml:space="preserve"> percent</w:t>
      </w:r>
      <w:r w:rsidRPr="000817BE">
        <w:t xml:space="preserve"> or 500 individuals, whichever is less, of their service population, again, defined as “the population served or encountered, or likely to be served or encountered.”</w:t>
      </w:r>
      <w:r w:rsidRPr="00A05270">
        <w:rPr>
          <w:rStyle w:val="EndnoteReference"/>
        </w:rPr>
        <w:endnoteReference w:id="5"/>
      </w:r>
      <w:r>
        <w:t xml:space="preserve"> </w:t>
      </w:r>
    </w:p>
    <w:p w:rsidR="00BC4EC1" w:rsidRDefault="00BC4EC1" w:rsidP="00BC4EC1">
      <w:pPr>
        <w:pStyle w:val="BodyTextFirstIndent"/>
        <w:rPr>
          <w:rFonts w:eastAsia="Calibri"/>
        </w:rPr>
      </w:pPr>
      <w:r w:rsidRPr="000817BE">
        <w:t xml:space="preserve">To implement these requirements, </w:t>
      </w:r>
      <w:r>
        <w:t>the Act provides an organizational structure for planning, supporting, and monitoring language access services. E</w:t>
      </w:r>
      <w:r w:rsidRPr="000817BE">
        <w:t xml:space="preserve">ach </w:t>
      </w:r>
      <w:r>
        <w:t>entity with major public contact i</w:t>
      </w:r>
      <w:r w:rsidRPr="000817BE">
        <w:t xml:space="preserve">s required to establish and implement a </w:t>
      </w:r>
      <w:r>
        <w:t xml:space="preserve">biannual </w:t>
      </w:r>
      <w:r w:rsidRPr="000817BE">
        <w:t>language access plan</w:t>
      </w:r>
      <w:r>
        <w:t xml:space="preserve"> (BLAP)</w:t>
      </w:r>
      <w:r w:rsidRPr="000817BE">
        <w:t xml:space="preserve"> and designate a Language Access Coordinator. </w:t>
      </w:r>
      <w:r w:rsidRPr="000817BE">
        <w:rPr>
          <w:rFonts w:eastAsia="Calibri"/>
        </w:rPr>
        <w:t>The</w:t>
      </w:r>
      <w:r>
        <w:rPr>
          <w:rFonts w:eastAsia="Calibri"/>
        </w:rPr>
        <w:t xml:space="preserve"> legislation outlines the</w:t>
      </w:r>
      <w:r w:rsidRPr="000817BE">
        <w:rPr>
          <w:rFonts w:eastAsia="Calibri"/>
        </w:rPr>
        <w:t xml:space="preserve"> requirements and metrics to be included in the language access plans, which </w:t>
      </w:r>
      <w:r>
        <w:rPr>
          <w:rFonts w:eastAsia="Calibri"/>
        </w:rPr>
        <w:t>a</w:t>
      </w:r>
      <w:r w:rsidRPr="000817BE">
        <w:rPr>
          <w:rFonts w:eastAsia="Calibri"/>
        </w:rPr>
        <w:t>re to be renewed every two years</w:t>
      </w:r>
      <w:r>
        <w:rPr>
          <w:rFonts w:eastAsia="Calibri"/>
        </w:rPr>
        <w:t xml:space="preserve">. </w:t>
      </w:r>
      <w:r>
        <w:t>T</w:t>
      </w:r>
      <w:r w:rsidRPr="000817BE">
        <w:t>he</w:t>
      </w:r>
      <w:r>
        <w:t xml:space="preserve"> chief</w:t>
      </w:r>
      <w:r w:rsidRPr="000817BE">
        <w:t xml:space="preserve"> coordination role </w:t>
      </w:r>
      <w:r>
        <w:t xml:space="preserve">is assigned </w:t>
      </w:r>
      <w:r w:rsidRPr="000817BE">
        <w:t>to the Office of Human Rights</w:t>
      </w:r>
      <w:r>
        <w:t xml:space="preserve"> (OHR)</w:t>
      </w:r>
      <w:r w:rsidRPr="000817BE">
        <w:t>, led by a language access director</w:t>
      </w:r>
      <w:r>
        <w:t>, whose responsibilities include</w:t>
      </w:r>
      <w:r w:rsidRPr="000817BE">
        <w:rPr>
          <w:rFonts w:eastAsia="Calibri"/>
        </w:rPr>
        <w:t xml:space="preserve"> monitor</w:t>
      </w:r>
      <w:r>
        <w:rPr>
          <w:rFonts w:eastAsia="Calibri"/>
        </w:rPr>
        <w:t>ing</w:t>
      </w:r>
      <w:r w:rsidRPr="000817BE">
        <w:rPr>
          <w:rFonts w:eastAsia="Calibri"/>
        </w:rPr>
        <w:t xml:space="preserve"> departments’ reporting and compliance, provid</w:t>
      </w:r>
      <w:r>
        <w:rPr>
          <w:rFonts w:eastAsia="Calibri"/>
        </w:rPr>
        <w:t>ing</w:t>
      </w:r>
      <w:r w:rsidRPr="000817BE">
        <w:rPr>
          <w:rFonts w:eastAsia="Calibri"/>
        </w:rPr>
        <w:t xml:space="preserve"> technical assistance and support, and investigat</w:t>
      </w:r>
      <w:r>
        <w:rPr>
          <w:rFonts w:eastAsia="Calibri"/>
        </w:rPr>
        <w:t>ing</w:t>
      </w:r>
      <w:r w:rsidRPr="000817BE">
        <w:rPr>
          <w:rFonts w:eastAsia="Calibri"/>
        </w:rPr>
        <w:t xml:space="preserve"> complaints from the public.</w:t>
      </w:r>
      <w:r>
        <w:t xml:space="preserve"> </w:t>
      </w:r>
      <w:r>
        <w:rPr>
          <w:rFonts w:eastAsia="Calibri"/>
        </w:rPr>
        <w:t>The</w:t>
      </w:r>
      <w:r w:rsidRPr="000817BE">
        <w:rPr>
          <w:rFonts w:eastAsia="Calibri"/>
        </w:rPr>
        <w:t xml:space="preserve"> DCLAC </w:t>
      </w:r>
      <w:r>
        <w:rPr>
          <w:rFonts w:eastAsia="Calibri"/>
        </w:rPr>
        <w:t xml:space="preserve">has </w:t>
      </w:r>
      <w:r w:rsidRPr="000817BE">
        <w:rPr>
          <w:rFonts w:eastAsia="Calibri"/>
        </w:rPr>
        <w:t>a consultative role</w:t>
      </w:r>
      <w:r>
        <w:rPr>
          <w:rFonts w:eastAsia="Calibri"/>
        </w:rPr>
        <w:t>,</w:t>
      </w:r>
      <w:r w:rsidRPr="000817BE">
        <w:rPr>
          <w:rFonts w:eastAsia="Calibri"/>
        </w:rPr>
        <w:t xml:space="preserve"> along with the</w:t>
      </w:r>
      <w:r>
        <w:rPr>
          <w:rFonts w:eastAsia="Calibri"/>
        </w:rPr>
        <w:t xml:space="preserve"> mayor’s constituent offices for minority outreach.</w:t>
      </w:r>
      <w:r w:rsidRPr="00FB0C49">
        <w:rPr>
          <w:rStyle w:val="EndnoteReference"/>
          <w:rFonts w:eastAsia="Calibri"/>
        </w:rPr>
        <w:endnoteReference w:id="6"/>
      </w:r>
      <w:r w:rsidRPr="000817BE">
        <w:rPr>
          <w:rFonts w:eastAsia="Calibri"/>
        </w:rPr>
        <w:t xml:space="preserve"> </w:t>
      </w:r>
    </w:p>
    <w:p w:rsidR="00BC4EC1" w:rsidRDefault="00130D4E">
      <w:pPr>
        <w:spacing w:after="200" w:line="276" w:lineRule="auto"/>
        <w:jc w:val="left"/>
        <w:rPr>
          <w:rFonts w:ascii="Gill Sans MT" w:eastAsia="MS Mincho" w:hAnsi="Gill Sans MT"/>
          <w:b/>
          <w:noProof/>
        </w:rPr>
      </w:pPr>
      <w:r>
        <w:rPr>
          <w:noProof/>
        </w:rPr>
        <mc:AlternateContent>
          <mc:Choice Requires="wpg">
            <w:drawing>
              <wp:anchor distT="0" distB="0" distL="114300" distR="114300" simplePos="0" relativeHeight="251650560" behindDoc="0" locked="0" layoutInCell="1" allowOverlap="0" wp14:anchorId="418DAABD" wp14:editId="72DBEEA5">
                <wp:simplePos x="0" y="0"/>
                <wp:positionH relativeFrom="column">
                  <wp:align>center</wp:align>
                </wp:positionH>
                <wp:positionV relativeFrom="paragraph">
                  <wp:posOffset>1828800</wp:posOffset>
                </wp:positionV>
                <wp:extent cx="5723890" cy="4398010"/>
                <wp:effectExtent l="0" t="0" r="10160" b="2159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3890" cy="4398010"/>
                          <a:chOff x="0" y="0"/>
                          <a:chExt cx="5724144" cy="4399173"/>
                        </a:xfrm>
                      </wpg:grpSpPr>
                      <wpg:grpSp>
                        <wpg:cNvPr id="34" name="Group 34"/>
                        <wpg:cNvGrpSpPr/>
                        <wpg:grpSpPr>
                          <a:xfrm>
                            <a:off x="0" y="0"/>
                            <a:ext cx="5724144" cy="749808"/>
                            <a:chOff x="0" y="0"/>
                            <a:chExt cx="5724525" cy="752475"/>
                          </a:xfrm>
                        </wpg:grpSpPr>
                        <wps:wsp>
                          <wps:cNvPr id="42" name="Rectangle 17"/>
                          <wps:cNvSpPr>
                            <a:spLocks noChangeArrowheads="1"/>
                          </wps:cNvSpPr>
                          <wps:spPr bwMode="auto">
                            <a:xfrm>
                              <a:off x="2219325" y="9525"/>
                              <a:ext cx="1371600" cy="733425"/>
                            </a:xfrm>
                            <a:prstGeom prst="rect">
                              <a:avLst/>
                            </a:prstGeom>
                            <a:solidFill>
                              <a:srgbClr val="3090C4"/>
                            </a:solidFill>
                            <a:ln w="3175">
                              <a:solidFill>
                                <a:srgbClr val="3090C4"/>
                              </a:solidFill>
                              <a:miter lim="800000"/>
                              <a:headEnd/>
                              <a:tailEnd/>
                            </a:ln>
                          </wps:spPr>
                          <wps:txbx>
                            <w:txbxContent>
                              <w:p w:rsidR="006D58CF" w:rsidRPr="002114E7" w:rsidRDefault="006D58CF" w:rsidP="00BC4EC1">
                                <w:pPr>
                                  <w:jc w:val="center"/>
                                  <w:rPr>
                                    <w:rFonts w:ascii="Gill Sans MT" w:hAnsi="Gill Sans MT"/>
                                    <w:b/>
                                    <w:color w:val="FFFFFF"/>
                                    <w:szCs w:val="22"/>
                                  </w:rPr>
                                </w:pPr>
                                <w:r w:rsidRPr="002114E7">
                                  <w:rPr>
                                    <w:rFonts w:ascii="Gill Sans MT" w:hAnsi="Gill Sans MT"/>
                                    <w:b/>
                                    <w:color w:val="FFFFFF"/>
                                    <w:szCs w:val="22"/>
                                  </w:rPr>
                                  <w:t>Office of Human Rights</w:t>
                                </w:r>
                              </w:p>
                            </w:txbxContent>
                          </wps:txbx>
                          <wps:bodyPr rot="0" vert="horz" wrap="square" lIns="91440" tIns="45720" rIns="91440" bIns="45720" anchor="ctr" anchorCtr="0" upright="1">
                            <a:noAutofit/>
                          </wps:bodyPr>
                        </wps:wsp>
                        <wps:wsp>
                          <wps:cNvPr id="44" name="Straight Arrow Connector 33"/>
                          <wps:cNvCnPr>
                            <a:cxnSpLocks noChangeShapeType="1"/>
                          </wps:cNvCnPr>
                          <wps:spPr bwMode="auto">
                            <a:xfrm>
                              <a:off x="1533525" y="342900"/>
                              <a:ext cx="548640" cy="0"/>
                            </a:xfrm>
                            <a:prstGeom prst="straightConnector1">
                              <a:avLst/>
                            </a:prstGeom>
                            <a:noFill/>
                            <a:ln w="31750">
                              <a:solidFill>
                                <a:srgbClr val="3090C4"/>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34"/>
                          <wps:cNvCnPr>
                            <a:cxnSpLocks noChangeShapeType="1"/>
                          </wps:cNvCnPr>
                          <wps:spPr bwMode="auto">
                            <a:xfrm flipH="1">
                              <a:off x="3667125" y="342900"/>
                              <a:ext cx="548640" cy="0"/>
                            </a:xfrm>
                            <a:prstGeom prst="straightConnector1">
                              <a:avLst/>
                            </a:prstGeom>
                            <a:noFill/>
                            <a:ln w="31750">
                              <a:solidFill>
                                <a:srgbClr val="3090C4"/>
                              </a:solidFill>
                              <a:round/>
                              <a:headEnd/>
                              <a:tailEnd type="arrow" w="med" len="med"/>
                            </a:ln>
                            <a:extLst>
                              <a:ext uri="{909E8E84-426E-40DD-AFC4-6F175D3DCCD1}">
                                <a14:hiddenFill xmlns:a14="http://schemas.microsoft.com/office/drawing/2010/main">
                                  <a:noFill/>
                                </a14:hiddenFill>
                              </a:ext>
                            </a:extLst>
                          </wps:spPr>
                          <wps:bodyPr/>
                        </wps:wsp>
                        <wps:wsp>
                          <wps:cNvPr id="6" name="Rectangle 18"/>
                          <wps:cNvSpPr>
                            <a:spLocks noChangeArrowheads="1"/>
                          </wps:cNvSpPr>
                          <wps:spPr bwMode="auto">
                            <a:xfrm>
                              <a:off x="0" y="19050"/>
                              <a:ext cx="1371600" cy="733425"/>
                            </a:xfrm>
                            <a:prstGeom prst="rect">
                              <a:avLst/>
                            </a:prstGeom>
                            <a:solidFill>
                              <a:srgbClr val="3090C4"/>
                            </a:solidFill>
                            <a:ln w="3175">
                              <a:solidFill>
                                <a:srgbClr val="3090C4"/>
                              </a:solidFill>
                              <a:miter lim="800000"/>
                              <a:headEnd/>
                              <a:tailEnd/>
                            </a:ln>
                          </wps:spPr>
                          <wps:txbx>
                            <w:txbxContent>
                              <w:p w:rsidR="006D58CF" w:rsidRPr="002114E7" w:rsidRDefault="006D58CF" w:rsidP="00BC4EC1">
                                <w:pPr>
                                  <w:jc w:val="center"/>
                                  <w:rPr>
                                    <w:rFonts w:ascii="Gill Sans MT" w:hAnsi="Gill Sans MT"/>
                                    <w:b/>
                                    <w:color w:val="FFFFFF"/>
                                    <w:szCs w:val="22"/>
                                  </w:rPr>
                                </w:pPr>
                                <w:r w:rsidRPr="002114E7">
                                  <w:rPr>
                                    <w:rFonts w:ascii="Gill Sans MT" w:hAnsi="Gill Sans MT"/>
                                    <w:b/>
                                    <w:color w:val="FFFFFF"/>
                                    <w:szCs w:val="22"/>
                                  </w:rPr>
                                  <w:t>DC Language Access Coalition (40 CBOs)</w:t>
                                </w:r>
                              </w:p>
                            </w:txbxContent>
                          </wps:txbx>
                          <wps:bodyPr rot="0" vert="horz" wrap="square" lIns="91440" tIns="45720" rIns="91440" bIns="45720" anchor="ctr" anchorCtr="0" upright="1">
                            <a:noAutofit/>
                          </wps:bodyPr>
                        </wps:wsp>
                        <wps:wsp>
                          <wps:cNvPr id="36" name="Rectangle 17"/>
                          <wps:cNvSpPr>
                            <a:spLocks noChangeArrowheads="1"/>
                          </wps:cNvSpPr>
                          <wps:spPr bwMode="auto">
                            <a:xfrm>
                              <a:off x="4352925" y="19050"/>
                              <a:ext cx="1371600" cy="733425"/>
                            </a:xfrm>
                            <a:prstGeom prst="rect">
                              <a:avLst/>
                            </a:prstGeom>
                            <a:solidFill>
                              <a:srgbClr val="3090C4"/>
                            </a:solidFill>
                            <a:ln w="3175">
                              <a:solidFill>
                                <a:srgbClr val="3090C4"/>
                              </a:solidFill>
                              <a:miter lim="800000"/>
                              <a:headEnd/>
                              <a:tailEnd/>
                            </a:ln>
                          </wps:spPr>
                          <wps:txbx>
                            <w:txbxContent>
                              <w:p w:rsidR="006D58CF" w:rsidRPr="002114E7" w:rsidRDefault="006D58CF" w:rsidP="00BC4EC1">
                                <w:pPr>
                                  <w:jc w:val="center"/>
                                  <w:rPr>
                                    <w:rFonts w:ascii="Gill Sans MT" w:hAnsi="Gill Sans MT"/>
                                    <w:b/>
                                    <w:color w:val="FFFFFF"/>
                                    <w:szCs w:val="22"/>
                                  </w:rPr>
                                </w:pPr>
                                <w:r w:rsidRPr="002114E7">
                                  <w:rPr>
                                    <w:rFonts w:ascii="Gill Sans MT" w:hAnsi="Gill Sans MT"/>
                                    <w:b/>
                                    <w:color w:val="FFFFFF"/>
                                    <w:szCs w:val="22"/>
                                  </w:rPr>
                                  <w:t>Mayor’s Offices on Constituent Affairs (OLA, OAPIA, OAA)</w:t>
                                </w:r>
                              </w:p>
                            </w:txbxContent>
                          </wps:txbx>
                          <wps:bodyPr rot="0" vert="horz" wrap="square" lIns="91440" tIns="45720" rIns="91440" bIns="45720" anchor="ctr" anchorCtr="0" upright="1">
                            <a:noAutofit/>
                          </wps:bodyPr>
                        </wps:wsp>
                        <wps:wsp>
                          <wps:cNvPr id="24" name="Text Box 2"/>
                          <wps:cNvSpPr txBox="1">
                            <a:spLocks noChangeArrowheads="1"/>
                          </wps:cNvSpPr>
                          <wps:spPr bwMode="auto">
                            <a:xfrm>
                              <a:off x="1362075" y="0"/>
                              <a:ext cx="857250" cy="247650"/>
                            </a:xfrm>
                            <a:prstGeom prst="rect">
                              <a:avLst/>
                            </a:prstGeom>
                            <a:noFill/>
                            <a:ln w="9525">
                              <a:no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wps:txbx>
                          <wps:bodyPr rot="0" vert="horz" wrap="square" lIns="91440" tIns="45720" rIns="91440" bIns="45720" anchor="t" anchorCtr="0">
                            <a:spAutoFit/>
                          </wps:bodyPr>
                        </wps:wsp>
                        <wps:wsp>
                          <wps:cNvPr id="25" name="Text Box 2"/>
                          <wps:cNvSpPr txBox="1">
                            <a:spLocks noChangeArrowheads="1"/>
                          </wps:cNvSpPr>
                          <wps:spPr bwMode="auto">
                            <a:xfrm>
                              <a:off x="3581400" y="9525"/>
                              <a:ext cx="781050" cy="247650"/>
                            </a:xfrm>
                            <a:prstGeom prst="rect">
                              <a:avLst/>
                            </a:prstGeom>
                            <a:noFill/>
                            <a:ln w="9525">
                              <a:no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wps:txbx>
                          <wps:bodyPr rot="0" vert="horz" wrap="square" lIns="91440" tIns="45720" rIns="91440" bIns="45720" anchor="t" anchorCtr="0">
                            <a:spAutoFit/>
                          </wps:bodyPr>
                        </wps:wsp>
                      </wpg:grpSp>
                      <wpg:grpSp>
                        <wpg:cNvPr id="39" name="Group 39"/>
                        <wpg:cNvGrpSpPr/>
                        <wpg:grpSpPr>
                          <a:xfrm>
                            <a:off x="26126" y="862149"/>
                            <a:ext cx="5666998" cy="3537024"/>
                            <a:chOff x="0" y="0"/>
                            <a:chExt cx="5666998" cy="3537024"/>
                          </a:xfrm>
                        </wpg:grpSpPr>
                        <wps:wsp>
                          <wps:cNvPr id="23" name="Text Box 2"/>
                          <wps:cNvSpPr txBox="1">
                            <a:spLocks noChangeArrowheads="1"/>
                          </wps:cNvSpPr>
                          <wps:spPr bwMode="auto">
                            <a:xfrm>
                              <a:off x="2507926" y="1227856"/>
                              <a:ext cx="783589" cy="248284"/>
                            </a:xfrm>
                            <a:prstGeom prst="rect">
                              <a:avLst/>
                            </a:prstGeom>
                            <a:noFill/>
                            <a:ln w="9525">
                              <a:noFill/>
                              <a:miter lim="800000"/>
                              <a:headEnd/>
                              <a:tailEnd/>
                            </a:ln>
                          </wps:spPr>
                          <wps:txbx>
                            <w:txbxContent>
                              <w:p w:rsidR="006D58CF" w:rsidRPr="00AB3898" w:rsidRDefault="006D58CF" w:rsidP="00BC4EC1">
                                <w:pPr>
                                  <w:rPr>
                                    <w:rFonts w:ascii="Gill Sans MT" w:hAnsi="Gill Sans MT"/>
                                    <w:b/>
                                    <w:sz w:val="20"/>
                                  </w:rPr>
                                </w:pPr>
                                <w:r w:rsidRPr="00AB3898">
                                  <w:rPr>
                                    <w:rFonts w:ascii="Gill Sans MT" w:hAnsi="Gill Sans MT"/>
                                    <w:b/>
                                    <w:sz w:val="20"/>
                                  </w:rPr>
                                  <w:t>Agencies</w:t>
                                </w:r>
                              </w:p>
                            </w:txbxContent>
                          </wps:txbx>
                          <wps:bodyPr rot="0" vert="horz" wrap="square" lIns="91440" tIns="45720" rIns="91440" bIns="45720" anchor="t" anchorCtr="0">
                            <a:spAutoFit/>
                          </wps:bodyPr>
                        </wps:wsp>
                        <wps:wsp>
                          <wps:cNvPr id="7" name="Down Arrow 21"/>
                          <wps:cNvSpPr>
                            <a:spLocks noChangeArrowheads="1"/>
                          </wps:cNvSpPr>
                          <wps:spPr bwMode="auto">
                            <a:xfrm>
                              <a:off x="2207623" y="13063"/>
                              <a:ext cx="666706" cy="1209500"/>
                            </a:xfrm>
                            <a:prstGeom prst="downArrow">
                              <a:avLst>
                                <a:gd name="adj1" fmla="val 50000"/>
                                <a:gd name="adj2" fmla="val 49999"/>
                              </a:avLst>
                            </a:prstGeom>
                            <a:solidFill>
                              <a:srgbClr val="3090C4"/>
                            </a:solidFill>
                            <a:ln w="3175">
                              <a:solidFill>
                                <a:srgbClr val="3090C4"/>
                              </a:solid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wps:txbx>
                          <wps:bodyPr rot="0" vert="vert" wrap="square" lIns="91440" tIns="45720" rIns="91440" bIns="45720" anchor="ctr" anchorCtr="0" upright="1">
                            <a:noAutofit/>
                          </wps:bodyPr>
                        </wps:wsp>
                        <wps:wsp>
                          <wps:cNvPr id="8" name="Oval 4"/>
                          <wps:cNvSpPr>
                            <a:spLocks noChangeArrowheads="1"/>
                          </wps:cNvSpPr>
                          <wps:spPr bwMode="auto">
                            <a:xfrm>
                              <a:off x="862149" y="966651"/>
                              <a:ext cx="419072" cy="790461"/>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0" name="Oval 19"/>
                          <wps:cNvSpPr>
                            <a:spLocks noChangeArrowheads="1"/>
                          </wps:cNvSpPr>
                          <wps:spPr bwMode="auto">
                            <a:xfrm>
                              <a:off x="5003074" y="1227908"/>
                              <a:ext cx="419072" cy="790461"/>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1" name="Oval 6"/>
                          <wps:cNvSpPr>
                            <a:spLocks noChangeArrowheads="1"/>
                          </wps:cNvSpPr>
                          <wps:spPr bwMode="auto">
                            <a:xfrm>
                              <a:off x="2455817" y="1489165"/>
                              <a:ext cx="419072" cy="580941"/>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2" name="Oval 7"/>
                          <wps:cNvSpPr>
                            <a:spLocks noChangeArrowheads="1"/>
                          </wps:cNvSpPr>
                          <wps:spPr bwMode="auto">
                            <a:xfrm>
                              <a:off x="1332411" y="888274"/>
                              <a:ext cx="419072" cy="523799"/>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3" name="Oval 8"/>
                          <wps:cNvSpPr>
                            <a:spLocks noChangeArrowheads="1"/>
                          </wps:cNvSpPr>
                          <wps:spPr bwMode="auto">
                            <a:xfrm>
                              <a:off x="1815737" y="979714"/>
                              <a:ext cx="609559" cy="790461"/>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4" name="Oval 9"/>
                          <wps:cNvSpPr>
                            <a:spLocks noChangeArrowheads="1"/>
                          </wps:cNvSpPr>
                          <wps:spPr bwMode="auto">
                            <a:xfrm>
                              <a:off x="2873829" y="1423851"/>
                              <a:ext cx="466694" cy="247614"/>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5" name="Oval 10"/>
                          <wps:cNvSpPr>
                            <a:spLocks noChangeArrowheads="1"/>
                          </wps:cNvSpPr>
                          <wps:spPr bwMode="auto">
                            <a:xfrm>
                              <a:off x="3370217" y="1031965"/>
                              <a:ext cx="580986" cy="742843"/>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58" name="Oval 11"/>
                          <wps:cNvSpPr>
                            <a:spLocks noChangeArrowheads="1"/>
                          </wps:cNvSpPr>
                          <wps:spPr bwMode="auto">
                            <a:xfrm>
                              <a:off x="4088674" y="1188720"/>
                              <a:ext cx="333353" cy="399992"/>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59" name="Oval 12"/>
                          <wps:cNvSpPr>
                            <a:spLocks noChangeArrowheads="1"/>
                          </wps:cNvSpPr>
                          <wps:spPr bwMode="auto">
                            <a:xfrm>
                              <a:off x="4519749" y="1071154"/>
                              <a:ext cx="419072" cy="428563"/>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6" name="Down Arrow 21"/>
                          <wps:cNvSpPr>
                            <a:spLocks noChangeArrowheads="1"/>
                          </wps:cNvSpPr>
                          <wps:spPr bwMode="auto">
                            <a:xfrm>
                              <a:off x="339634" y="0"/>
                              <a:ext cx="628608" cy="1209500"/>
                            </a:xfrm>
                            <a:prstGeom prst="downArrow">
                              <a:avLst>
                                <a:gd name="adj1" fmla="val 50000"/>
                                <a:gd name="adj2" fmla="val 49999"/>
                              </a:avLst>
                            </a:prstGeom>
                            <a:solidFill>
                              <a:srgbClr val="3090C4"/>
                            </a:solidFill>
                            <a:ln w="3175">
                              <a:solidFill>
                                <a:srgbClr val="3090C4"/>
                              </a:solid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wps:txbx>
                          <wps:bodyPr rot="0" vert="vert" wrap="square" lIns="91440" tIns="45720" rIns="91440" bIns="45720" anchor="ctr" anchorCtr="0" upright="1">
                            <a:noAutofit/>
                          </wps:bodyPr>
                        </wps:wsp>
                        <wps:wsp>
                          <wps:cNvPr id="37" name="Oval 4"/>
                          <wps:cNvSpPr>
                            <a:spLocks noChangeArrowheads="1"/>
                          </wps:cNvSpPr>
                          <wps:spPr bwMode="auto">
                            <a:xfrm>
                              <a:off x="130629" y="1110343"/>
                              <a:ext cx="419072" cy="790461"/>
                            </a:xfrm>
                            <a:prstGeom prst="ellipse">
                              <a:avLst/>
                            </a:prstGeom>
                            <a:solidFill>
                              <a:srgbClr val="F2B800"/>
                            </a:solidFill>
                            <a:ln w="3175">
                              <a:solidFill>
                                <a:srgbClr val="F2B800"/>
                              </a:solidFill>
                              <a:round/>
                              <a:headEnd/>
                              <a:tailEnd/>
                            </a:ln>
                          </wps:spPr>
                          <wps:bodyPr rot="0" vert="horz" wrap="square" lIns="91440" tIns="45720" rIns="91440" bIns="45720" anchor="ctr" anchorCtr="0" upright="1">
                            <a:noAutofit/>
                          </wps:bodyPr>
                        </wps:wsp>
                        <wps:wsp>
                          <wps:cNvPr id="17" name="Down Arrow 21"/>
                          <wps:cNvSpPr>
                            <a:spLocks noChangeArrowheads="1"/>
                          </wps:cNvSpPr>
                          <wps:spPr bwMode="auto">
                            <a:xfrm>
                              <a:off x="2913017" y="13063"/>
                              <a:ext cx="666706" cy="1209500"/>
                            </a:xfrm>
                            <a:prstGeom prst="downArrow">
                              <a:avLst>
                                <a:gd name="adj1" fmla="val 50000"/>
                                <a:gd name="adj2" fmla="val 49999"/>
                              </a:avLst>
                            </a:prstGeom>
                            <a:solidFill>
                              <a:srgbClr val="3090C4"/>
                            </a:solidFill>
                            <a:ln w="3175">
                              <a:solidFill>
                                <a:srgbClr val="3090C4"/>
                              </a:solid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Monitoring</w:t>
                                </w:r>
                              </w:p>
                            </w:txbxContent>
                          </wps:txbx>
                          <wps:bodyPr rot="0" vert="vert" wrap="square" lIns="91440" tIns="45720" rIns="91440" bIns="45720" anchor="ctr" anchorCtr="0" upright="1">
                            <a:noAutofit/>
                          </wps:bodyPr>
                        </wps:wsp>
                        <wps:wsp>
                          <wps:cNvPr id="19" name="Down Arrow 21"/>
                          <wps:cNvSpPr>
                            <a:spLocks noChangeArrowheads="1"/>
                          </wps:cNvSpPr>
                          <wps:spPr bwMode="auto">
                            <a:xfrm>
                              <a:off x="4676503" y="0"/>
                              <a:ext cx="666706" cy="1209500"/>
                            </a:xfrm>
                            <a:prstGeom prst="downArrow">
                              <a:avLst>
                                <a:gd name="adj1" fmla="val 50000"/>
                                <a:gd name="adj2" fmla="val 49999"/>
                              </a:avLst>
                            </a:prstGeom>
                            <a:solidFill>
                              <a:srgbClr val="3090C4"/>
                            </a:solidFill>
                            <a:ln w="3175">
                              <a:solidFill>
                                <a:srgbClr val="3090C4"/>
                              </a:solid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wps:txbx>
                          <wps:bodyPr rot="0" vert="vert" wrap="square" lIns="91440" tIns="45720" rIns="91440" bIns="45720" anchor="ctr" anchorCtr="0" upright="1">
                            <a:noAutofit/>
                          </wps:bodyPr>
                        </wps:wsp>
                        <wps:wsp>
                          <wps:cNvPr id="61" name="Rounded Rectangle 13"/>
                          <wps:cNvSpPr>
                            <a:spLocks noChangeArrowheads="1"/>
                          </wps:cNvSpPr>
                          <wps:spPr bwMode="auto">
                            <a:xfrm>
                              <a:off x="0" y="2795451"/>
                              <a:ext cx="5666998" cy="741573"/>
                            </a:xfrm>
                            <a:prstGeom prst="roundRect">
                              <a:avLst>
                                <a:gd name="adj" fmla="val 816"/>
                              </a:avLst>
                            </a:prstGeom>
                            <a:solidFill>
                              <a:srgbClr val="96C9E6"/>
                            </a:solidFill>
                            <a:ln w="3175">
                              <a:solidFill>
                                <a:srgbClr val="96C9E6"/>
                              </a:solidFill>
                              <a:round/>
                              <a:headEnd/>
                              <a:tailEnd/>
                            </a:ln>
                          </wps:spPr>
                          <wps:txbx>
                            <w:txbxContent>
                              <w:p w:rsidR="006D58CF" w:rsidRPr="00AB3898" w:rsidRDefault="006D58CF" w:rsidP="00BC4EC1">
                                <w:pPr>
                                  <w:jc w:val="center"/>
                                  <w:rPr>
                                    <w:rFonts w:ascii="Gill Sans MT" w:hAnsi="Gill Sans MT"/>
                                    <w:b/>
                                    <w:sz w:val="24"/>
                                  </w:rPr>
                                </w:pPr>
                                <w:r w:rsidRPr="00AB3898">
                                  <w:rPr>
                                    <w:rFonts w:ascii="Gill Sans MT" w:hAnsi="Gill Sans MT"/>
                                    <w:b/>
                                    <w:sz w:val="24"/>
                                  </w:rPr>
                                  <w:t>DC Public</w:t>
                                </w:r>
                              </w:p>
                            </w:txbxContent>
                          </wps:txbx>
                          <wps:bodyPr rot="0" vert="horz" wrap="square" lIns="91440" tIns="45720" rIns="91440" bIns="45720" anchor="ctr" anchorCtr="0" upright="1">
                            <a:noAutofit/>
                          </wps:bodyPr>
                        </wps:wsp>
                        <wps:wsp>
                          <wps:cNvPr id="60" name="Down Arrow 23"/>
                          <wps:cNvSpPr>
                            <a:spLocks noChangeArrowheads="1"/>
                          </wps:cNvSpPr>
                          <wps:spPr bwMode="auto">
                            <a:xfrm>
                              <a:off x="757646" y="1933303"/>
                              <a:ext cx="1752483" cy="820301"/>
                            </a:xfrm>
                            <a:prstGeom prst="downArrow">
                              <a:avLst>
                                <a:gd name="adj1" fmla="val 50000"/>
                                <a:gd name="adj2" fmla="val 50000"/>
                              </a:avLst>
                            </a:prstGeom>
                            <a:solidFill>
                              <a:srgbClr val="3090C4"/>
                            </a:solidFill>
                            <a:ln w="3175">
                              <a:solidFill>
                                <a:srgbClr val="3090C4"/>
                              </a:solid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Services</w:t>
                                </w:r>
                              </w:p>
                            </w:txbxContent>
                          </wps:txbx>
                          <wps:bodyPr rot="0" vert="horz" wrap="square" lIns="91440" tIns="45720" rIns="91440" bIns="45720" anchor="ctr" anchorCtr="0" upright="1">
                            <a:noAutofit/>
                          </wps:bodyPr>
                        </wps:wsp>
                        <wps:wsp>
                          <wps:cNvPr id="62" name="Down Arrow 24"/>
                          <wps:cNvSpPr>
                            <a:spLocks noChangeArrowheads="1"/>
                          </wps:cNvSpPr>
                          <wps:spPr bwMode="auto">
                            <a:xfrm flipV="1">
                              <a:off x="3252651" y="1894114"/>
                              <a:ext cx="1790581" cy="838079"/>
                            </a:xfrm>
                            <a:prstGeom prst="downArrow">
                              <a:avLst>
                                <a:gd name="adj1" fmla="val 50000"/>
                                <a:gd name="adj2" fmla="val 50000"/>
                              </a:avLst>
                            </a:prstGeom>
                            <a:solidFill>
                              <a:srgbClr val="3090C4"/>
                            </a:solidFill>
                            <a:ln w="3175">
                              <a:solidFill>
                                <a:srgbClr val="3090C4"/>
                              </a:solidFill>
                              <a:miter lim="800000"/>
                              <a:headEnd/>
                              <a:tailEnd/>
                            </a:ln>
                          </wps:spPr>
                          <wps:txbx>
                            <w:txbxContent>
                              <w:p w:rsidR="006D58CF" w:rsidRPr="00AB3898" w:rsidRDefault="006D58CF" w:rsidP="00BC4EC1">
                                <w:pPr>
                                  <w:jc w:val="center"/>
                                  <w:rPr>
                                    <w:rFonts w:ascii="Gill Sans MT" w:hAnsi="Gill Sans MT"/>
                                    <w:sz w:val="20"/>
                                  </w:rPr>
                                </w:pPr>
                                <w:r w:rsidRPr="00AB3898">
                                  <w:rPr>
                                    <w:rFonts w:ascii="Gill Sans MT" w:hAnsi="Gill Sans MT"/>
                                    <w:sz w:val="20"/>
                                  </w:rPr>
                                  <w:t>Information</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40" o:spid="_x0000_s1029" style="position:absolute;margin-left:0;margin-top:2in;width:450.7pt;height:346.3pt;z-index:251650560;mso-position-horizontal:center;mso-width-relative:margin;mso-height-relative:margin" coordsize="57241,4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" o:allowoverlap="f">
                <v:group id="Group 34" o:spid="_x0000_s1030" style="position:absolute;width:57241;height:7498" coordsize="57245,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7" o:spid="_x0000_s1031" style="position:absolute;left:22193;top:95;width:13716;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XssUA&#10;AADbAAAADwAAAGRycy9kb3ducmV2LnhtbESPT2vCQBTE7wW/w/KE3nTTIKlEV6lCq9emxT+3Z/aZ&#10;DWbfhuxW0376bkHocZiZ3zDzZW8bcaXO144VPI0TEMSl0zVXCj4/XkdTED4ga2wck4Jv8rBcDB7m&#10;mGt343e6FqESEcI+RwUmhDaX0peGLPqxa4mjd3adxRBlV0nd4S3CbSPTJMmkxZrjgsGW1obKS/Fl&#10;FfikPUyK/c/mtHsz/riX2eo5zZR6HPYvMxCB+vAfvre3WsEk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BeyxQAAANsAAAAPAAAAAAAAAAAAAAAAAJgCAABkcnMv&#10;ZG93bnJldi54bWxQSwUGAAAAAAQABAD1AAAAigMAAAAA&#10;" fillcolor="#3090c4" strokecolor="#3090c4" strokeweight=".25pt">
                    <v:textbox>
                      <w:txbxContent>
                        <w:p w:rsidR="006D58CF" w:rsidRPr="002114E7" w:rsidRDefault="006D58CF" w:rsidP="00BC4EC1">
                          <w:pPr>
                            <w:jc w:val="center"/>
                            <w:rPr>
                              <w:rFonts w:ascii="Gill Sans MT" w:hAnsi="Gill Sans MT"/>
                              <w:b/>
                              <w:color w:val="FFFFFF"/>
                              <w:szCs w:val="22"/>
                            </w:rPr>
                          </w:pPr>
                          <w:r w:rsidRPr="002114E7">
                            <w:rPr>
                              <w:rFonts w:ascii="Gill Sans MT" w:hAnsi="Gill Sans MT"/>
                              <w:b/>
                              <w:color w:val="FFFFFF"/>
                              <w:szCs w:val="22"/>
                            </w:rPr>
                            <w:t>Office of Human Rights</w:t>
                          </w:r>
                        </w:p>
                      </w:txbxContent>
                    </v:textbox>
                  </v:rect>
                  <v:shapetype id="_x0000_t32" coordsize="21600,21600" o:spt="32" o:oned="t" path="m,l21600,21600e" filled="f">
                    <v:path arrowok="t" fillok="f" o:connecttype="none"/>
                    <o:lock v:ext="edit" shapetype="t"/>
                  </v:shapetype>
                  <v:shape id="Straight Arrow Connector 33" o:spid="_x0000_s1032" type="#_x0000_t32" style="position:absolute;left:15335;top:3429;width:5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UnWcUAAADbAAAADwAAAGRycy9kb3ducmV2LnhtbESPQWvCQBSE7wX/w/IK3nTTakWimyBF&#10;wVY9NBXPj+xrEpp9G7OrSfvr3YLQ4zAz3zDLtDe1uFLrKssKnsYRCOLc6ooLBcfPzWgOwnlkjbVl&#10;UvBDDtJk8LDEWNuOP+ia+UIECLsYFZTeN7GULi/JoBvbhjh4X7Y16INsC6lb7ALc1PI5imbSYMVh&#10;ocSGXkvKv7OLUTCZ7Of177o7XE67iLbZy/ntmL0rNXzsVwsQnnr/H763t1rBdAp/X8IP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UnWcUAAADbAAAADwAAAAAAAAAA&#10;AAAAAAChAgAAZHJzL2Rvd25yZXYueG1sUEsFBgAAAAAEAAQA+QAAAJMDAAAAAA==&#10;" strokecolor="#3090c4" strokeweight="2.5pt">
                    <v:stroke endarrow="open"/>
                  </v:shape>
                  <v:shape id="Straight Arrow Connector 34" o:spid="_x0000_s1033" type="#_x0000_t32" style="position:absolute;left:36671;top:3429;width:54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9gcMAAADbAAAADwAAAGRycy9kb3ducmV2LnhtbESPS6vCMBSE94L/IRzBzUVTH4hUo6gg&#10;uLkLn+Du0BzbYnNSm1h7/70RLrgcZuYbZr5sTCFqqlxuWcGgH4EgTqzOOVVwOm57UxDOI2ssLJOC&#10;P3KwXLRbc4y1ffGe6oNPRYCwi1FB5n0ZS+mSjAy6vi2Jg3ezlUEfZJVKXeErwE0hh1E0kQZzDgsZ&#10;lrTJKLkfnkbB9azNJRkNH/qHfk/j/ba+rMtaqW6nWc1AeGr8N/zf3mkF4xF8voQfIB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fYHDAAAA2wAAAA8AAAAAAAAAAAAA&#10;AAAAoQIAAGRycy9kb3ducmV2LnhtbFBLBQYAAAAABAAEAPkAAACRAwAAAAA=&#10;" strokecolor="#3090c4" strokeweight="2.5pt">
                    <v:stroke endarrow="open"/>
                  </v:shape>
                  <v:rect id="Rectangle 18" o:spid="_x0000_s1034" style="position:absolute;top:190;width:13716;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kLcMA&#10;AADaAAAADwAAAGRycy9kb3ducmV2LnhtbESPQWvCQBSE70L/w/IK3uqmUmKJrmIFq9fGYvT2mn3N&#10;BrNvQ3bVtL++KxQ8DjPzDTNb9LYRF+p87VjB8ygBQVw6XXOl4HO3fnoF4QOyxsYxKfghD4v5w2CG&#10;mXZX/qBLHioRIewzVGBCaDMpfWnIoh+5ljh6366zGKLsKqk7vEa4beQ4SVJpsea4YLCllaHylJ+t&#10;Ap+0h5e8+N187d+NPxYyfZuMU6WGj/1yCiJQH+7h//ZWK0jhdiXe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kLcMAAADaAAAADwAAAAAAAAAAAAAAAACYAgAAZHJzL2Rv&#10;d25yZXYueG1sUEsFBgAAAAAEAAQA9QAAAIgDAAAAAA==&#10;" fillcolor="#3090c4" strokecolor="#3090c4" strokeweight=".25pt">
                    <v:textbox>
                      <w:txbxContent>
                        <w:p w:rsidR="006D58CF" w:rsidRPr="002114E7" w:rsidRDefault="006D58CF" w:rsidP="00BC4EC1">
                          <w:pPr>
                            <w:jc w:val="center"/>
                            <w:rPr>
                              <w:rFonts w:ascii="Gill Sans MT" w:hAnsi="Gill Sans MT"/>
                              <w:b/>
                              <w:color w:val="FFFFFF"/>
                              <w:szCs w:val="22"/>
                            </w:rPr>
                          </w:pPr>
                          <w:r w:rsidRPr="002114E7">
                            <w:rPr>
                              <w:rFonts w:ascii="Gill Sans MT" w:hAnsi="Gill Sans MT"/>
                              <w:b/>
                              <w:color w:val="FFFFFF"/>
                              <w:szCs w:val="22"/>
                            </w:rPr>
                            <w:t>DC Language Access Coalition (40 CBOs)</w:t>
                          </w:r>
                        </w:p>
                      </w:txbxContent>
                    </v:textbox>
                  </v:rect>
                  <v:rect id="Rectangle 17" o:spid="_x0000_s1035" style="position:absolute;left:43529;top:190;width:13716;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izMUA&#10;AADbAAAADwAAAGRycy9kb3ducmV2LnhtbESPS2/CMBCE75X6H6ytxK04BZSigEEFice1acXjtsTb&#10;OGq8jmIDgV9fV6rU42hmvtFM552txYVaXzlW8NJPQBAXTldcKvj8WD2PQfiArLF2TApu5GE+e3yY&#10;Yqbdld/pkodSRAj7DBWYEJpMSl8Ysuj7riGO3pdrLYYo21LqFq8Rbms5SJJUWqw4LhhsaGmo+M7P&#10;VoFPmsMo3983p93a+ONepovXQapU76l7m4AI1IX/8F97qxUMU/j9En+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WLMxQAAANsAAAAPAAAAAAAAAAAAAAAAAJgCAABkcnMv&#10;ZG93bnJldi54bWxQSwUGAAAAAAQABAD1AAAAigMAAAAA&#10;" fillcolor="#3090c4" strokecolor="#3090c4" strokeweight=".25pt">
                    <v:textbox>
                      <w:txbxContent>
                        <w:p w:rsidR="006D58CF" w:rsidRPr="002114E7" w:rsidRDefault="006D58CF" w:rsidP="00BC4EC1">
                          <w:pPr>
                            <w:jc w:val="center"/>
                            <w:rPr>
                              <w:rFonts w:ascii="Gill Sans MT" w:hAnsi="Gill Sans MT"/>
                              <w:b/>
                              <w:color w:val="FFFFFF"/>
                              <w:szCs w:val="22"/>
                            </w:rPr>
                          </w:pPr>
                          <w:r w:rsidRPr="002114E7">
                            <w:rPr>
                              <w:rFonts w:ascii="Gill Sans MT" w:hAnsi="Gill Sans MT"/>
                              <w:b/>
                              <w:color w:val="FFFFFF"/>
                              <w:szCs w:val="22"/>
                            </w:rPr>
                            <w:t>Mayor’s Offices on Constituent Affairs (OLA, OAPIA, OAA)</w:t>
                          </w:r>
                        </w:p>
                      </w:txbxContent>
                    </v:textbox>
                  </v:rect>
                  <v:shape id="_x0000_s1036" type="#_x0000_t202" style="position:absolute;left:13620;width:8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v:textbox>
                  </v:shape>
                  <v:shape id="_x0000_s1037" type="#_x0000_t202" style="position:absolute;left:35814;top:95;width:7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v:textbox>
                  </v:shape>
                </v:group>
                <v:group id="Group 39" o:spid="_x0000_s1038" style="position:absolute;left:261;top:8621;width:56670;height:35370" coordsize="56669,3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_x0000_s1039" type="#_x0000_t202" style="position:absolute;left:25079;top:12278;width:7836;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6D58CF" w:rsidRPr="00AB3898" w:rsidRDefault="006D58CF" w:rsidP="00BC4EC1">
                          <w:pPr>
                            <w:rPr>
                              <w:rFonts w:ascii="Gill Sans MT" w:hAnsi="Gill Sans MT"/>
                              <w:b/>
                              <w:sz w:val="20"/>
                            </w:rPr>
                          </w:pPr>
                          <w:r w:rsidRPr="00AB3898">
                            <w:rPr>
                              <w:rFonts w:ascii="Gill Sans MT" w:hAnsi="Gill Sans MT"/>
                              <w:b/>
                              <w:sz w:val="20"/>
                            </w:rPr>
                            <w:t>Agencies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40" type="#_x0000_t67" style="position:absolute;left:22076;top:130;width:6667;height:1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0Gb4A&#10;AADaAAAADwAAAGRycy9kb3ducmV2LnhtbESPSwvCMBCE74L/IazgTVMFH1Sj+Kjg1cfF29KsbWmz&#10;KU3U+u+NIHgcZuYbZrluTSWe1LjCsoLRMAJBnFpdcKbgejkM5iCcR9ZYWSYFb3KwXnU7S4y1ffGJ&#10;nmefiQBhF6OC3Ps6ltKlORl0Q1sTB+9uG4M+yCaTusFXgJtKjqNoKg0WHBZyrGmXU1qeH0ZBed9f&#10;JreN9HhKkzbZvpNZWUdK9XvtZgHCU+v/4V/7q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0NBm+AAAA2gAAAA8AAAAAAAAAAAAAAAAAmAIAAGRycy9kb3ducmV2&#10;LnhtbFBLBQYAAAAABAAEAPUAAACDAwAAAAA=&#10;" adj="15647" fillcolor="#3090c4" strokecolor="#3090c4" strokeweight=".25pt">
                    <v:textbox style="layout-flow:vertical">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v:textbox>
                  </v:shape>
                  <v:oval id="Oval 4" o:spid="_x0000_s1041" style="position:absolute;left:8621;top:9666;width:4191;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BEsEA&#10;AADaAAAADwAAAGRycy9kb3ducmV2LnhtbERPPW/CMBDdK/EfrENiqYoDQ4sCBlEDaisWSBHzNb4m&#10;ofE5ik0I/74eKnV8et+LVW9r0VHrK8cKJuMEBHHuTMWFgtPn7mkGwgdkg7VjUnAnD6vl4GGBqXE3&#10;PlKXhULEEPYpKihDaFIpfV6SRT92DXHkvl1rMUTYFtK0eIvhtpbTJHmWFiuODSU2pEvKf7KrVXDw&#10;583la6v3+vF18vGGnT693LVSo2G/noMI1Id/8Z/73SiIW+OVe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gRLBAAAA2gAAAA8AAAAAAAAAAAAAAAAAmAIAAGRycy9kb3du&#10;cmV2LnhtbFBLBQYAAAAABAAEAPUAAACGAwAAAAA=&#10;" fillcolor="#f2b800" strokecolor="#f2b800" strokeweight=".25pt"/>
                  <v:oval id="Oval 19" o:spid="_x0000_s1042" style="position:absolute;left:50030;top:12279;width:4191;height:7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mGsUA&#10;AADbAAAADwAAAGRycy9kb3ducmV2LnhtbESPQU/CQBCF7yb+h82YeCGwxYOawkJ01YjxokA4D92h&#10;rXZnm+5ayr9nDiTeZvLevPfNfDn4RvXUxTqwgekkA0VcBFdzaWC7eRs/gooJ2WETmAycKMJycX01&#10;x9yFI39Tv06lkhCOORqoUmpzrWNRkcc4CS2xaIfQeUyydqV2HR4l3Df6LsvutceapaHClmxFxe/6&#10;zxv4iruXn/2r/bSj5+nHO/Z2+3CyxtzeDE8zUImG9G++XK+c4Au9/CID6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GYaxQAAANsAAAAPAAAAAAAAAAAAAAAAAJgCAABkcnMv&#10;ZG93bnJldi54bWxQSwUGAAAAAAQABAD1AAAAigMAAAAA&#10;" fillcolor="#f2b800" strokecolor="#f2b800" strokeweight=".25pt"/>
                  <v:oval id="Oval 6" o:spid="_x0000_s1043" style="position:absolute;left:24558;top:14891;width:419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DgcMA&#10;AADbAAAADwAAAGRycy9kb3ducmV2LnhtbERPTU/CQBC9m/AfNkPixdhtPSgpbAmuGjVcEIjnsTu0&#10;he5s011L+feuiYm3eXmfs1iOthUD9b5xrCBLUhDEpTMNVwr2u5fbGQgfkA22jknBhTwsi8nVAnPj&#10;zvxBwzZUIoawz1FBHUKXS+nLmiz6xHXEkTu43mKIsK+k6fEcw20r79L0XlpsODbU2JGuqTxtv62C&#10;jf98On4967W+eczeX3HQ+4eLVup6Oq7mIAKN4V/8534zcX4Gv7/E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zDgcMAAADbAAAADwAAAAAAAAAAAAAAAACYAgAAZHJzL2Rv&#10;d25yZXYueG1sUEsFBgAAAAAEAAQA9QAAAIgDAAAAAA==&#10;" fillcolor="#f2b800" strokecolor="#f2b800" strokeweight=".25pt"/>
                  <v:oval id="Oval 7" o:spid="_x0000_s1044" style="position:absolute;left:13324;top:8882;width:4190;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5d9sMA&#10;AADbAAAADwAAAGRycy9kb3ducmV2LnhtbERPTWvCQBC9F/wPywhepG700ErqKnZVbOmlWul5zI5J&#10;bHY2ZNcY/323IPQ2j/c5s0VnK9FS40vHCsajBARx5kzJuYLD1+ZxCsIHZIOVY1JwIw+Lee9hhqlx&#10;V95Ruw+5iCHsU1RQhFCnUvqsIIt+5GriyJ1cYzFE2OTSNHiN4baSkyR5khZLjg0F1qQLyn72F6vg&#10;03+vzse1/tDD1/H7Flt9eL5ppQb9bvkCIlAX/sV395uJ8y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5d9sMAAADbAAAADwAAAAAAAAAAAAAAAACYAgAAZHJzL2Rv&#10;d25yZXYueG1sUEsFBgAAAAAEAAQA9QAAAIgDAAAAAA==&#10;" fillcolor="#f2b800" strokecolor="#f2b800" strokeweight=".25pt"/>
                  <v:oval id="Oval 8" o:spid="_x0000_s1045" style="position:absolute;left:18157;top:9797;width:6095;height:7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4bcQA&#10;AADbAAAADwAAAGRycy9kb3ducmV2LnhtbERPTU/CQBC9k/AfNkPihcgWTcQUFqKrRgkXrITz0B3a&#10;ane26a6l/HvXhITbvLzPWax6W4uOWl85VjCdJCCIc2cqLhTsvt5uH0H4gGywdkwKzuRhtRwOFpga&#10;d+JP6rJQiBjCPkUFZQhNKqXPS7LoJ64hjtzRtRZDhG0hTYunGG5reZckD9JixbGhxIZ0SflP9msV&#10;bP3+5fvwqjd6/Dxdv2Ond7OzVupm1D/NQQTqw1V8cX+YOP8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C+G3EAAAA2wAAAA8AAAAAAAAAAAAAAAAAmAIAAGRycy9k&#10;b3ducmV2LnhtbFBLBQYAAAAABAAEAPUAAACJAwAAAAA=&#10;" fillcolor="#f2b800" strokecolor="#f2b800" strokeweight=".25pt"/>
                  <v:oval id="Oval 9" o:spid="_x0000_s1046" style="position:absolute;left:28738;top:14238;width:4667;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gGcQA&#10;AADbAAAADwAAAGRycy9kb3ducmV2LnhtbERPTU/CQBC9k/AfNkPihcgWY8QUFqKrRgkXrITz0B3a&#10;ane26a6l/HvXhITbvLzPWax6W4uOWl85VjCdJCCIc2cqLhTsvt5uH0H4gGywdkwKzuRhtRwOFpga&#10;d+JP6rJQiBjCPkUFZQhNKqXPS7LoJ64hjtzRtRZDhG0hTYunGG5reZckD9JixbGhxIZ0SflP9msV&#10;bP3+5fvwqjd6/Dxdv2Ond7OzVupm1D/NQQTqw1V8cX+YOP8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YBnEAAAA2wAAAA8AAAAAAAAAAAAAAAAAmAIAAGRycy9k&#10;b3ducmV2LnhtbFBLBQYAAAAABAAEAPUAAACJAwAAAAA=&#10;" fillcolor="#f2b800" strokecolor="#f2b800" strokeweight=".25pt"/>
                  <v:oval id="Oval 10" o:spid="_x0000_s1047" style="position:absolute;left:33702;top:10319;width:5810;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FgsQA&#10;AADbAAAADwAAAGRycy9kb3ducmV2LnhtbERPTU/CQBC9k/AfNkPihcgWE8UUFqKrRgkXrITz0B3a&#10;ane26a6l/HvXhITbvLzPWax6W4uOWl85VjCdJCCIc2cqLhTsvt5uH0H4gGywdkwKzuRhtRwOFpga&#10;d+JP6rJQiBjCPkUFZQhNKqXPS7LoJ64hjtzRtRZDhG0hTYunGG5reZckD9JixbGhxIZ0SflP9msV&#10;bP3+5fvwqjd6/Dxdv2Ond7OzVupm1D/NQQTqw1V8cX+YOP8e/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xYLEAAAA2wAAAA8AAAAAAAAAAAAAAAAAmAIAAGRycy9k&#10;b3ducmV2LnhtbFBLBQYAAAAABAAEAPUAAACJAwAAAAA=&#10;" fillcolor="#f2b800" strokecolor="#f2b800" strokeweight=".25pt"/>
                  <v:oval id="Oval 11" o:spid="_x0000_s1048" style="position:absolute;left:40886;top:11887;width:333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T3MIA&#10;AADbAAAADwAAAGRycy9kb3ducmV2LnhtbERPz2vCMBS+D/wfwhO8DE0VNqUaZcscTrxsTnZ+Ns+2&#10;rnkpTaz1vzeHwY4f3+/FqrOVaKnxpWMF41ECgjhzpuRcweH7fTgD4QOywcoxKbiRh9Wy97DA1Lgr&#10;f1G7D7mIIexTVFCEUKdS+qwgi37kauLInVxjMUTY5NI0eI3htpKTJHmWFkuODQXWpAvKfvcXq+DT&#10;/7ydj2u904+v4+0GW32Y3rRSg373MgcRqAv/4j/3h1HwFMfG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NPcwgAAANsAAAAPAAAAAAAAAAAAAAAAAJgCAABkcnMvZG93&#10;bnJldi54bWxQSwUGAAAAAAQABAD1AAAAhwMAAAAA&#10;" fillcolor="#f2b800" strokecolor="#f2b800" strokeweight=".25pt"/>
                  <v:oval id="Oval 12" o:spid="_x0000_s1049" style="position:absolute;left:45197;top:10711;width:4191;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2R8YA&#10;AADbAAAADwAAAGRycy9kb3ducmV2LnhtbESPT0/CQBTE7yR8h80j8WJgi4kClYXoqhHiRf6E87P7&#10;aIvdt013LeXbuyYmHCcz85vMfNnZSrTU+NKxgvEoAUGcOVNyrmC/extOQfiAbLByTAou5GG56Pfm&#10;mBp35g2125CLCGGfooIihDqV0mcFWfQjVxNH7+gaiyHKJpemwXOE20reJcmDtFhyXCiwJl1Q9r39&#10;sQo+/eHl9PWqP/Tt83j9jq3eTy5aqZtB9/QIIlAXruH/9soouJ/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2R8YAAADbAAAADwAAAAAAAAAAAAAAAACYAgAAZHJz&#10;L2Rvd25yZXYueG1sUEsFBgAAAAAEAAQA9QAAAIsDAAAAAA==&#10;" fillcolor="#f2b800" strokecolor="#f2b800" strokeweight=".25pt"/>
                  <v:shape id="Down Arrow 21" o:spid="_x0000_s1050" type="#_x0000_t67" style="position:absolute;left:3396;width:6286;height:1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i6sMA&#10;AADbAAAADwAAAGRycy9kb3ducmV2LnhtbERPTWuDQBC9F/Iflin01qxNSijGVUJAkpReYtpDb4M7&#10;UYk7K+4a9d93C4Xe5vE+J8km04o79a6xrOBlGYEgLq1uuFLwecmf30A4j6yxtUwKZnKQpYuHBGNt&#10;Rz7TvfCVCCHsYlRQe9/FUrqyJoNuaTviwF1tb9AH2FdS9ziGcNPKVRRtpMGGQ0ONHe1rKm/FYBSc&#10;x3l9ej3Nw7sfh+5iv/ND8/Gl1NPjtNuC8DT5f/Gf+6jD/A38/hI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i6sMAAADbAAAADwAAAAAAAAAAAAAAAACYAgAAZHJzL2Rv&#10;d25yZXYueG1sUEsFBgAAAAAEAAQA9QAAAIgDAAAAAA==&#10;" adj="15987" fillcolor="#3090c4" strokecolor="#3090c4" strokeweight=".25pt">
                    <v:textbox style="layout-flow:vertical">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v:textbox>
                  </v:shape>
                  <v:oval id="Oval 4" o:spid="_x0000_s1051" style="position:absolute;left:1306;top:11103;width:4191;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iDsYA&#10;AADbAAAADwAAAGRycy9kb3ducmV2LnhtbESPQWvCQBSE7wX/w/IKXkQ3WlCJrtJuW1rx0qp4fmZf&#10;k9js25DdxvjvuwWhx2FmvmGW685WoqXGl44VjEcJCOLMmZJzBYf963AOwgdkg5VjUnAlD+tV726J&#10;qXEX/qR2F3IRIexTVFCEUKdS+qwgi37kauLofbnGYoiyyaVp8BLhtpKTJJlKiyXHhQJr0gVl37sf&#10;q+DDH5/Ppxe91YOn8eYNW32YXbVS/fvucQEiUBf+w7f2u1HwM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iDsYAAADbAAAADwAAAAAAAAAAAAAAAACYAgAAZHJz&#10;L2Rvd25yZXYueG1sUEsFBgAAAAAEAAQA9QAAAIsDAAAAAA==&#10;" fillcolor="#f2b800" strokecolor="#f2b800" strokeweight=".25pt"/>
                  <v:shape id="Down Arrow 21" o:spid="_x0000_s1052" type="#_x0000_t67" style="position:absolute;left:29130;top:130;width:6667;height:1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7x7wA&#10;AADbAAAADwAAAGRycy9kb3ducmV2LnhtbERPyQrCMBC9C/5DGMGbpgouVKO4VPDqcvE2NGNb2kxK&#10;E7X+vREEb/N46yzXranEkxpXWFYwGkYgiFOrC84UXC+HwRyE88gaK8uk4E0O1qtuZ4mxti8+0fPs&#10;MxFC2MWoIPe+jqV0aU4G3dDWxIG728agD7DJpG7wFcJNJcdRNJUGCw4NOda0yyktzw+joLzvL5Pb&#10;Rno8pUmbbN/JrKwjpfq9drMA4an1f/HPfdRh/gy+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9jvHvAAAANsAAAAPAAAAAAAAAAAAAAAAAJgCAABkcnMvZG93bnJldi54&#10;bWxQSwUGAAAAAAQABAD1AAAAgQMAAAAA&#10;" adj="15647" fillcolor="#3090c4" strokecolor="#3090c4" strokeweight=".25pt">
                    <v:textbox style="layout-flow:vertical">
                      <w:txbxContent>
                        <w:p w:rsidR="006D58CF" w:rsidRPr="00AB3898" w:rsidRDefault="006D58CF" w:rsidP="00BC4EC1">
                          <w:pPr>
                            <w:jc w:val="center"/>
                            <w:rPr>
                              <w:rFonts w:ascii="Gill Sans MT" w:hAnsi="Gill Sans MT"/>
                              <w:sz w:val="20"/>
                            </w:rPr>
                          </w:pPr>
                          <w:r w:rsidRPr="00AB3898">
                            <w:rPr>
                              <w:rFonts w:ascii="Gill Sans MT" w:hAnsi="Gill Sans MT"/>
                              <w:sz w:val="20"/>
                            </w:rPr>
                            <w:t>Monitoring</w:t>
                          </w:r>
                        </w:p>
                      </w:txbxContent>
                    </v:textbox>
                  </v:shape>
                  <v:shape id="Down Arrow 21" o:spid="_x0000_s1053" type="#_x0000_t67" style="position:absolute;left:46765;width:6667;height:1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KLsEA&#10;AADbAAAADwAAAGRycy9kb3ducmV2LnhtbERPS0vDQBC+C/0PyxS8mU0Fa5tmW1KN4LWJF29DdvIg&#10;2dmQXdP037sFwdt8fM9JT4sZxEyT6ywr2EQxCOLK6o4bBV/lx9MOhPPIGgfLpOBGDk7H1UOKibZX&#10;vtBc+EaEEHYJKmi9HxMpXdWSQRfZkThwtZ0M+gCnRuoJryHcDPI5jrfSYMehocWR3lqq+uLHKOjr&#10;9/LlO5MeL1W+5Odb/tqPsVKP6yU7gPC0+H/xn/tTh/l7uP8SDp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lCi7BAAAA2wAAAA8AAAAAAAAAAAAAAAAAmAIAAGRycy9kb3du&#10;cmV2LnhtbFBLBQYAAAAABAAEAPUAAACGAwAAAAA=&#10;" adj="15647" fillcolor="#3090c4" strokecolor="#3090c4" strokeweight=".25pt">
                    <v:textbox style="layout-flow:vertical">
                      <w:txbxContent>
                        <w:p w:rsidR="006D58CF" w:rsidRPr="00AB3898" w:rsidRDefault="006D58CF" w:rsidP="00BC4EC1">
                          <w:pPr>
                            <w:jc w:val="center"/>
                            <w:rPr>
                              <w:rFonts w:ascii="Gill Sans MT" w:hAnsi="Gill Sans MT"/>
                              <w:sz w:val="20"/>
                            </w:rPr>
                          </w:pPr>
                          <w:r w:rsidRPr="00AB3898">
                            <w:rPr>
                              <w:rFonts w:ascii="Gill Sans MT" w:hAnsi="Gill Sans MT"/>
                              <w:sz w:val="20"/>
                            </w:rPr>
                            <w:t>Advising</w:t>
                          </w:r>
                        </w:p>
                      </w:txbxContent>
                    </v:textbox>
                  </v:shape>
                  <v:roundrect id="Rounded Rectangle 13" o:spid="_x0000_s1054" style="position:absolute;top:27954;width:56669;height:7416;visibility:visible;mso-wrap-style:square;v-text-anchor:middle" arcsize="53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PP8QA&#10;AADbAAAADwAAAGRycy9kb3ducmV2LnhtbESPT2vCQBTE7wW/w/KE3uomRUKJriJKQfBg69/rI/tM&#10;gtm3cXc18dt3C4Ueh5n5DTOd96YRD3K+tqwgHSUgiAuray4VHPafbx8gfEDW2FgmBU/yMJ8NXqaY&#10;a9vxNz12oRQRwj5HBVUIbS6lLyoy6Ee2JY7exTqDIUpXSu2wi3DTyPckyaTBmuNChS0tKyquu7tR&#10;sDqerl1xc+Ms/docz9vtUtrsqdTrsF9MQATqw3/4r73WCrIU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jz/EAAAA2wAAAA8AAAAAAAAAAAAAAAAAmAIAAGRycy9k&#10;b3ducmV2LnhtbFBLBQYAAAAABAAEAPUAAACJAwAAAAA=&#10;" fillcolor="#96c9e6" strokecolor="#96c9e6" strokeweight=".25pt">
                    <v:textbox>
                      <w:txbxContent>
                        <w:p w:rsidR="006D58CF" w:rsidRPr="00AB3898" w:rsidRDefault="006D58CF" w:rsidP="00BC4EC1">
                          <w:pPr>
                            <w:jc w:val="center"/>
                            <w:rPr>
                              <w:rFonts w:ascii="Gill Sans MT" w:hAnsi="Gill Sans MT"/>
                              <w:b/>
                              <w:sz w:val="24"/>
                            </w:rPr>
                          </w:pPr>
                          <w:r w:rsidRPr="00AB3898">
                            <w:rPr>
                              <w:rFonts w:ascii="Gill Sans MT" w:hAnsi="Gill Sans MT"/>
                              <w:b/>
                              <w:sz w:val="24"/>
                            </w:rPr>
                            <w:t>DC Public</w:t>
                          </w:r>
                        </w:p>
                      </w:txbxContent>
                    </v:textbox>
                  </v:roundrect>
                  <v:shape id="Down Arrow 23" o:spid="_x0000_s1055" type="#_x0000_t67" style="position:absolute;left:7576;top:19333;width:17525;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r0A&#10;AADbAAAADwAAAGRycy9kb3ducmV2LnhtbERPTYvCMBC9L/gfwgheFk31ULQaRQXRPVq9eBuasS02&#10;k5JEW/+9OSx4fLzv1aY3jXiR87VlBdNJAoK4sLrmUsH1chjPQfiArLGxTAre5GGzHvysMNO24zO9&#10;8lCKGMI+QwVVCG0mpS8qMugntiWO3N06gyFCV0rtsIvhppGzJEmlwZpjQ4Ut7SsqHvnTKHjcFpi6&#10;fGfLc9sUx473v/xXKzUa9tsliEB9+Ir/3SetII3r45f4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Xrr0AAADbAAAADwAAAAAAAAAAAAAAAACYAgAAZHJzL2Rvd25yZXYu&#10;eG1sUEsFBgAAAAAEAAQA9QAAAIIDAAAAAA==&#10;" adj="10800" fillcolor="#3090c4" strokecolor="#3090c4" strokeweight=".25pt">
                    <v:textbox>
                      <w:txbxContent>
                        <w:p w:rsidR="006D58CF" w:rsidRPr="00AB3898" w:rsidRDefault="006D58CF" w:rsidP="00BC4EC1">
                          <w:pPr>
                            <w:jc w:val="center"/>
                            <w:rPr>
                              <w:rFonts w:ascii="Gill Sans MT" w:hAnsi="Gill Sans MT"/>
                              <w:sz w:val="20"/>
                            </w:rPr>
                          </w:pPr>
                          <w:r w:rsidRPr="00AB3898">
                            <w:rPr>
                              <w:rFonts w:ascii="Gill Sans MT" w:hAnsi="Gill Sans MT"/>
                              <w:sz w:val="20"/>
                            </w:rPr>
                            <w:t>Services</w:t>
                          </w:r>
                        </w:p>
                      </w:txbxContent>
                    </v:textbox>
                  </v:shape>
                  <v:shape id="Down Arrow 24" o:spid="_x0000_s1056" type="#_x0000_t67" style="position:absolute;left:32526;top:18941;width:17906;height:83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fH8UA&#10;AADbAAAADwAAAGRycy9kb3ducmV2LnhtbESPQWvCQBSE7wX/w/IEb3WjQlqiawhC0YuH2iIeX7LP&#10;JJh9G7PbJP57t1DocZiZb5hNOppG9NS52rKCxTwCQVxYXXOp4Pvr4/UdhPPIGhvLpOBBDtLt5GWD&#10;ibYDf1J/8qUIEHYJKqi8bxMpXVGRQTe3LXHwrrYz6IPsSqk7HALcNHIZRbE0WHNYqLClXUXF7fRj&#10;FBzP8d7kbRZdVpf7LT+eV/n9ba/UbDpmaxCeRv8f/msftIJ4Cb9fw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B8fxQAAANsAAAAPAAAAAAAAAAAAAAAAAJgCAABkcnMv&#10;ZG93bnJldi54bWxQSwUGAAAAAAQABAD1AAAAigMAAAAA&#10;" adj="10800" fillcolor="#3090c4" strokecolor="#3090c4" strokeweight=".25pt">
                    <v:textbox>
                      <w:txbxContent>
                        <w:p w:rsidR="006D58CF" w:rsidRPr="00AB3898" w:rsidRDefault="006D58CF" w:rsidP="00BC4EC1">
                          <w:pPr>
                            <w:jc w:val="center"/>
                            <w:rPr>
                              <w:rFonts w:ascii="Gill Sans MT" w:hAnsi="Gill Sans MT"/>
                              <w:sz w:val="20"/>
                            </w:rPr>
                          </w:pPr>
                          <w:r w:rsidRPr="00AB3898">
                            <w:rPr>
                              <w:rFonts w:ascii="Gill Sans MT" w:hAnsi="Gill Sans MT"/>
                              <w:sz w:val="20"/>
                            </w:rPr>
                            <w:t>Information</w:t>
                          </w:r>
                        </w:p>
                      </w:txbxContent>
                    </v:textbox>
                  </v:shape>
                </v:group>
                <w10:wrap type="topAndBottom"/>
              </v:group>
            </w:pict>
          </mc:Fallback>
        </mc:AlternateContent>
      </w:r>
      <w:r w:rsidR="00BC4EC1">
        <w:br w:type="page"/>
      </w:r>
    </w:p>
    <w:p w:rsidR="00BC4EC1" w:rsidRDefault="00BC4EC1" w:rsidP="00BC4EC1">
      <w:pPr>
        <w:pStyle w:val="BodyTextFirstIndent"/>
      </w:pPr>
      <w:r>
        <w:t>The Act</w:t>
      </w:r>
      <w:r w:rsidRPr="000817BE">
        <w:t xml:space="preserve"> require</w:t>
      </w:r>
      <w:r>
        <w:t>s agencies to digitally collect data</w:t>
      </w:r>
      <w:r w:rsidRPr="000817BE">
        <w:t xml:space="preserve"> on language </w:t>
      </w:r>
      <w:r>
        <w:t>needs</w:t>
      </w:r>
      <w:r w:rsidRPr="000817BE">
        <w:t xml:space="preserve"> of </w:t>
      </w:r>
      <w:r>
        <w:t xml:space="preserve">clients, and it </w:t>
      </w:r>
      <w:r w:rsidRPr="000817BE">
        <w:t>describe</w:t>
      </w:r>
      <w:r>
        <w:t>s</w:t>
      </w:r>
      <w:r w:rsidRPr="000817BE">
        <w:t xml:space="preserve"> the </w:t>
      </w:r>
      <w:r>
        <w:t xml:space="preserve">additional data </w:t>
      </w:r>
      <w:r w:rsidRPr="000817BE">
        <w:t>sources that entities should consult</w:t>
      </w:r>
      <w:r>
        <w:t xml:space="preserve"> in assessing language needs. It lists</w:t>
      </w:r>
      <w:r w:rsidRPr="000817BE">
        <w:t xml:space="preserve"> various</w:t>
      </w:r>
      <w:r>
        <w:t xml:space="preserve"> secondary sources, including</w:t>
      </w:r>
      <w:r w:rsidRPr="000817BE">
        <w:t xml:space="preserve"> </w:t>
      </w:r>
      <w:r w:rsidR="00EE5261">
        <w:t>c</w:t>
      </w:r>
      <w:r w:rsidRPr="000817BE">
        <w:t>ensus data sources and DC Public</w:t>
      </w:r>
      <w:r>
        <w:t xml:space="preserve"> Schools (DCPS) data. Additionally, the Act identifies DCLAC and the mayor’s constituent offices </w:t>
      </w:r>
      <w:r w:rsidRPr="000817BE">
        <w:t xml:space="preserve">responsible for </w:t>
      </w:r>
      <w:r>
        <w:t>LEP/NEP</w:t>
      </w:r>
      <w:r w:rsidRPr="000817BE">
        <w:t xml:space="preserve"> outreach </w:t>
      </w:r>
      <w:r>
        <w:t xml:space="preserve">as data sources (table </w:t>
      </w:r>
      <w:r w:rsidR="00EE5261">
        <w:t>1</w:t>
      </w:r>
      <w:r>
        <w:t>).</w:t>
      </w:r>
    </w:p>
    <w:p w:rsidR="00BC4EC1" w:rsidRDefault="00BC4EC1" w:rsidP="00BC4EC1">
      <w:pPr>
        <w:pStyle w:val="BodyTextFirstIndent"/>
      </w:pPr>
      <w:r>
        <w:t>Agencies are</w:t>
      </w:r>
      <w:r w:rsidRPr="000817BE">
        <w:t xml:space="preserve"> </w:t>
      </w:r>
      <w:r>
        <w:t>required to train personnel in public contact positions on how to serve customers with language access needs and hire bilingual personnel as needed. Finally, agencies are required</w:t>
      </w:r>
      <w:r w:rsidRPr="000817BE">
        <w:t xml:space="preserve"> to conduct public meetings </w:t>
      </w:r>
      <w:r>
        <w:t>on their language access</w:t>
      </w:r>
      <w:r w:rsidRPr="000817BE">
        <w:t xml:space="preserve"> plans </w:t>
      </w:r>
      <w:r>
        <w:t>to obtain community feedback, and to develop</w:t>
      </w:r>
      <w:r w:rsidRPr="000817BE">
        <w:t xml:space="preserve"> plan</w:t>
      </w:r>
      <w:r>
        <w:t>s</w:t>
      </w:r>
      <w:r w:rsidRPr="000817BE">
        <w:t xml:space="preserve"> for periodic public outreach to member</w:t>
      </w:r>
      <w:r>
        <w:t>s</w:t>
      </w:r>
      <w:r w:rsidRPr="000817BE">
        <w:t xml:space="preserve"> of the </w:t>
      </w:r>
      <w:r>
        <w:t>LEP/NEP</w:t>
      </w:r>
      <w:r w:rsidRPr="000817BE">
        <w:t xml:space="preserve"> community.</w:t>
      </w:r>
      <w:r>
        <w:t xml:space="preserve"> </w:t>
      </w:r>
    </w:p>
    <w:p w:rsidR="00BC4EC1" w:rsidRPr="00CB2589" w:rsidRDefault="00BC4EC1" w:rsidP="00BC4EC1">
      <w:pPr>
        <w:pStyle w:val="FigureandTableTitle"/>
      </w:pPr>
      <w:r>
        <w:t xml:space="preserve">Table </w:t>
      </w:r>
      <w:r w:rsidR="00EE5261">
        <w:t>1</w:t>
      </w:r>
      <w:r>
        <w:t xml:space="preserve">. Data </w:t>
      </w:r>
      <w:r w:rsidRPr="00CB2589">
        <w:t>Sources Cited in the Language Access Act for Informing Assessment of Language Access Needs</w:t>
      </w:r>
    </w:p>
    <w:tbl>
      <w:tblPr>
        <w:tblW w:w="0" w:type="auto"/>
        <w:tblBorders>
          <w:top w:val="single" w:sz="8" w:space="0" w:color="000000"/>
          <w:bottom w:val="single" w:sz="8" w:space="0" w:color="000000"/>
        </w:tblBorders>
        <w:tblLook w:val="0620" w:firstRow="1" w:lastRow="0" w:firstColumn="0" w:lastColumn="0" w:noHBand="1" w:noVBand="1"/>
      </w:tblPr>
      <w:tblGrid>
        <w:gridCol w:w="4420"/>
        <w:gridCol w:w="4420"/>
      </w:tblGrid>
      <w:tr w:rsidR="00BC4EC1" w:rsidRPr="002114E7">
        <w:trPr>
          <w:cantSplit/>
          <w:tblHeader/>
        </w:trPr>
        <w:tc>
          <w:tcPr>
            <w:tcW w:w="4420" w:type="dxa"/>
            <w:tcBorders>
              <w:top w:val="single" w:sz="8" w:space="0" w:color="auto"/>
              <w:left w:val="nil"/>
              <w:bottom w:val="single" w:sz="8" w:space="0" w:color="000000"/>
              <w:right w:val="nil"/>
            </w:tcBorders>
          </w:tcPr>
          <w:p w:rsidR="00BC4EC1" w:rsidRPr="002114E7" w:rsidRDefault="00401F91" w:rsidP="00401F91">
            <w:pPr>
              <w:pStyle w:val="Tablecolumnheading"/>
              <w:rPr>
                <w:bCs/>
                <w:szCs w:val="22"/>
              </w:rPr>
            </w:pPr>
            <w:r>
              <w:rPr>
                <w:bCs/>
                <w:color w:val="000000"/>
                <w:szCs w:val="22"/>
              </w:rPr>
              <w:t>From ce</w:t>
            </w:r>
            <w:r w:rsidR="00BC4EC1" w:rsidRPr="002114E7">
              <w:rPr>
                <w:bCs/>
                <w:color w:val="000000"/>
                <w:szCs w:val="22"/>
              </w:rPr>
              <w:t>nsus sources</w:t>
            </w:r>
          </w:p>
        </w:tc>
        <w:tc>
          <w:tcPr>
            <w:tcW w:w="4420" w:type="dxa"/>
            <w:tcBorders>
              <w:top w:val="single" w:sz="8" w:space="0" w:color="auto"/>
              <w:left w:val="nil"/>
              <w:bottom w:val="single" w:sz="8" w:space="0" w:color="000000"/>
              <w:right w:val="nil"/>
            </w:tcBorders>
          </w:tcPr>
          <w:p w:rsidR="00BC4EC1" w:rsidRPr="002114E7" w:rsidRDefault="00BC4EC1" w:rsidP="00BC4EC1">
            <w:pPr>
              <w:pStyle w:val="Tablecolumnheading"/>
              <w:rPr>
                <w:bCs/>
                <w:szCs w:val="22"/>
              </w:rPr>
            </w:pPr>
            <w:r w:rsidRPr="002114E7">
              <w:rPr>
                <w:bCs/>
                <w:color w:val="000000"/>
                <w:szCs w:val="22"/>
              </w:rPr>
              <w:t>From local stakeholders</w:t>
            </w:r>
          </w:p>
        </w:tc>
      </w:tr>
      <w:tr w:rsidR="00BC4EC1" w:rsidRPr="002114E7">
        <w:trPr>
          <w:cantSplit/>
        </w:trPr>
        <w:tc>
          <w:tcPr>
            <w:tcW w:w="4420" w:type="dxa"/>
          </w:tcPr>
          <w:p w:rsidR="00BC4EC1" w:rsidRPr="002114E7" w:rsidRDefault="00BC4EC1" w:rsidP="00BC4EC1">
            <w:pPr>
              <w:pStyle w:val="Tablecell"/>
              <w:ind w:left="90" w:hanging="90"/>
              <w:rPr>
                <w:szCs w:val="22"/>
              </w:rPr>
            </w:pPr>
            <w:r w:rsidRPr="002114E7">
              <w:rPr>
                <w:color w:val="000000"/>
                <w:szCs w:val="22"/>
              </w:rPr>
              <w:t>US Census Bureau’s “Language Use and English Ability, Linguistic Isolation” or successor reports</w:t>
            </w:r>
          </w:p>
        </w:tc>
        <w:tc>
          <w:tcPr>
            <w:tcW w:w="4420" w:type="dxa"/>
          </w:tcPr>
          <w:p w:rsidR="00BC4EC1" w:rsidRPr="002114E7" w:rsidRDefault="00BC4EC1" w:rsidP="00BC4EC1">
            <w:pPr>
              <w:pStyle w:val="Tablecell"/>
              <w:ind w:left="80" w:hanging="80"/>
              <w:rPr>
                <w:szCs w:val="22"/>
              </w:rPr>
            </w:pPr>
            <w:r w:rsidRPr="002114E7">
              <w:rPr>
                <w:color w:val="000000"/>
                <w:szCs w:val="22"/>
              </w:rPr>
              <w:t>Intake data collected by covered entities</w:t>
            </w:r>
          </w:p>
        </w:tc>
      </w:tr>
      <w:tr w:rsidR="00BC4EC1" w:rsidRPr="002114E7">
        <w:trPr>
          <w:cantSplit/>
        </w:trPr>
        <w:tc>
          <w:tcPr>
            <w:tcW w:w="4420" w:type="dxa"/>
          </w:tcPr>
          <w:p w:rsidR="00BC4EC1" w:rsidRPr="002114E7" w:rsidRDefault="00BC4EC1" w:rsidP="00BC4EC1">
            <w:pPr>
              <w:pStyle w:val="Tablecell"/>
              <w:ind w:left="90" w:hanging="90"/>
              <w:rPr>
                <w:szCs w:val="22"/>
              </w:rPr>
            </w:pPr>
            <w:r w:rsidRPr="002114E7">
              <w:rPr>
                <w:color w:val="000000"/>
                <w:szCs w:val="22"/>
              </w:rPr>
              <w:t>Any other language-related information</w:t>
            </w:r>
          </w:p>
        </w:tc>
        <w:tc>
          <w:tcPr>
            <w:tcW w:w="4420" w:type="dxa"/>
          </w:tcPr>
          <w:p w:rsidR="00BC4EC1" w:rsidRPr="002114E7" w:rsidRDefault="00BC4EC1" w:rsidP="00BC4EC1">
            <w:pPr>
              <w:pStyle w:val="Tablecell"/>
              <w:ind w:left="80" w:hanging="80"/>
              <w:rPr>
                <w:szCs w:val="22"/>
              </w:rPr>
            </w:pPr>
            <w:r w:rsidRPr="002114E7">
              <w:rPr>
                <w:color w:val="000000"/>
                <w:szCs w:val="22"/>
              </w:rPr>
              <w:t>Data collected by DC Public Schools</w:t>
            </w:r>
          </w:p>
        </w:tc>
      </w:tr>
      <w:tr w:rsidR="00BC4EC1" w:rsidRPr="002114E7">
        <w:trPr>
          <w:cantSplit/>
        </w:trPr>
        <w:tc>
          <w:tcPr>
            <w:tcW w:w="4420" w:type="dxa"/>
          </w:tcPr>
          <w:p w:rsidR="00BC4EC1" w:rsidRPr="002114E7" w:rsidRDefault="00BC4EC1" w:rsidP="00BC4EC1">
            <w:pPr>
              <w:pStyle w:val="Tablecell"/>
              <w:ind w:left="90" w:hanging="90"/>
              <w:rPr>
                <w:szCs w:val="22"/>
              </w:rPr>
            </w:pPr>
            <w:r w:rsidRPr="002114E7">
              <w:rPr>
                <w:color w:val="000000"/>
                <w:szCs w:val="22"/>
              </w:rPr>
              <w:t>Census data on language ability indicating that individuals speak English “less than very well”</w:t>
            </w:r>
          </w:p>
        </w:tc>
        <w:tc>
          <w:tcPr>
            <w:tcW w:w="4420" w:type="dxa"/>
          </w:tcPr>
          <w:p w:rsidR="00BC4EC1" w:rsidRPr="002114E7" w:rsidRDefault="00BC4EC1" w:rsidP="00BC4EC1">
            <w:pPr>
              <w:pStyle w:val="Tablecell"/>
              <w:ind w:left="80" w:hanging="80"/>
              <w:rPr>
                <w:szCs w:val="22"/>
              </w:rPr>
            </w:pPr>
            <w:r w:rsidRPr="002114E7">
              <w:rPr>
                <w:color w:val="000000"/>
                <w:szCs w:val="22"/>
              </w:rPr>
              <w:t>Data collected by and made available by the mayor’s constituent offices (OLA, AAPIA, OAA)</w:t>
            </w:r>
            <w:r w:rsidRPr="002114E7" w:rsidDel="000E1952">
              <w:rPr>
                <w:color w:val="000000"/>
                <w:szCs w:val="22"/>
              </w:rPr>
              <w:t xml:space="preserve"> </w:t>
            </w:r>
          </w:p>
        </w:tc>
      </w:tr>
      <w:tr w:rsidR="00BC4EC1" w:rsidRPr="002114E7">
        <w:trPr>
          <w:cantSplit/>
        </w:trPr>
        <w:tc>
          <w:tcPr>
            <w:tcW w:w="4420" w:type="dxa"/>
            <w:tcBorders>
              <w:bottom w:val="single" w:sz="8" w:space="0" w:color="auto"/>
            </w:tcBorders>
          </w:tcPr>
          <w:p w:rsidR="00BC4EC1" w:rsidRPr="002114E7" w:rsidRDefault="00BC4EC1" w:rsidP="00BC4EC1">
            <w:pPr>
              <w:pStyle w:val="Tablecell"/>
              <w:ind w:left="90" w:hanging="90"/>
              <w:rPr>
                <w:szCs w:val="22"/>
              </w:rPr>
            </w:pPr>
            <w:r w:rsidRPr="002114E7">
              <w:rPr>
                <w:color w:val="000000"/>
                <w:szCs w:val="22"/>
              </w:rPr>
              <w:t>Local census data relating to language use and English language ability</w:t>
            </w:r>
          </w:p>
        </w:tc>
        <w:tc>
          <w:tcPr>
            <w:tcW w:w="4420" w:type="dxa"/>
            <w:tcBorders>
              <w:bottom w:val="single" w:sz="8" w:space="0" w:color="auto"/>
            </w:tcBorders>
          </w:tcPr>
          <w:p w:rsidR="00BC4EC1" w:rsidRPr="002114E7" w:rsidRDefault="00BC4EC1" w:rsidP="00BC4EC1">
            <w:pPr>
              <w:pStyle w:val="Tablecell"/>
              <w:ind w:left="80" w:hanging="80"/>
              <w:rPr>
                <w:szCs w:val="22"/>
              </w:rPr>
            </w:pPr>
            <w:r w:rsidRPr="002114E7">
              <w:rPr>
                <w:color w:val="000000"/>
                <w:szCs w:val="22"/>
              </w:rPr>
              <w:t>Data collected and made available by the DCLAC</w:t>
            </w:r>
          </w:p>
        </w:tc>
      </w:tr>
    </w:tbl>
    <w:p w:rsidR="00BC4EC1" w:rsidRPr="004C5A2D" w:rsidRDefault="00BC4EC1" w:rsidP="00BC4EC1">
      <w:pPr>
        <w:pStyle w:val="FigureandTableNotes"/>
      </w:pPr>
    </w:p>
    <w:p w:rsidR="00BC4EC1" w:rsidRDefault="00BC4EC1" w:rsidP="00BC4EC1">
      <w:pPr>
        <w:pStyle w:val="BodyTextFirstIndent"/>
        <w:rPr>
          <w:i/>
        </w:rPr>
      </w:pPr>
      <w:r w:rsidRPr="000817BE">
        <w:t xml:space="preserve">Not all DC agencies </w:t>
      </w:r>
      <w:r>
        <w:t xml:space="preserve">that were designated as “covered entities with major public contact” </w:t>
      </w:r>
      <w:r w:rsidRPr="000817BE">
        <w:t xml:space="preserve">were required to comply </w:t>
      </w:r>
      <w:r>
        <w:t xml:space="preserve">with these requirements </w:t>
      </w:r>
      <w:r w:rsidRPr="000817BE">
        <w:t>immediately. The Act provided for a three-phase implementation</w:t>
      </w:r>
      <w:r>
        <w:t>:</w:t>
      </w:r>
      <w:r w:rsidRPr="000817BE">
        <w:t xml:space="preserve"> an initial group of </w:t>
      </w:r>
      <w:r>
        <w:t>eight agencies</w:t>
      </w:r>
      <w:r w:rsidRPr="000817BE">
        <w:t xml:space="preserve"> </w:t>
      </w:r>
      <w:r>
        <w:t xml:space="preserve">was </w:t>
      </w:r>
      <w:r w:rsidRPr="000817BE">
        <w:t>required to develop language access plans immediately</w:t>
      </w:r>
      <w:r>
        <w:t>,</w:t>
      </w:r>
      <w:r w:rsidRPr="000817BE">
        <w:t xml:space="preserve"> an additional six by October 2004</w:t>
      </w:r>
      <w:r>
        <w:t>,</w:t>
      </w:r>
      <w:r w:rsidRPr="000817BE">
        <w:t xml:space="preserve"> an additional eight by October 2005</w:t>
      </w:r>
      <w:r>
        <w:t>,</w:t>
      </w:r>
      <w:r w:rsidRPr="000817BE">
        <w:t xml:space="preserve"> and the remainder by October 2006</w:t>
      </w:r>
      <w:r w:rsidRPr="000817BE">
        <w:rPr>
          <w:i/>
        </w:rPr>
        <w:t>.</w:t>
      </w:r>
      <w:r w:rsidRPr="00552349">
        <w:rPr>
          <w:rStyle w:val="EndnoteReference"/>
          <w:rFonts w:ascii="Calibri" w:eastAsia="Calibri" w:hAnsi="Calibri"/>
        </w:rPr>
        <w:endnoteReference w:id="7"/>
      </w:r>
      <w:r w:rsidRPr="000817BE">
        <w:rPr>
          <w:i/>
        </w:rPr>
        <w:t xml:space="preserve"> </w:t>
      </w:r>
    </w:p>
    <w:p w:rsidR="00BC4EC1" w:rsidRDefault="00BC4EC1" w:rsidP="00BC4EC1">
      <w:pPr>
        <w:pStyle w:val="BodyTextFirstIndent"/>
      </w:pPr>
      <w:r>
        <w:t xml:space="preserve">Regulations passed in 2008 clarified that </w:t>
      </w:r>
      <w:r w:rsidRPr="00791455">
        <w:rPr>
          <w:i/>
        </w:rPr>
        <w:t>all</w:t>
      </w:r>
      <w:r>
        <w:t xml:space="preserve"> District agencies with public contact are required to </w:t>
      </w:r>
      <w:r w:rsidRPr="002A084B">
        <w:t>1</w:t>
      </w:r>
      <w:r w:rsidRPr="00516B1F">
        <w:t>) sup</w:t>
      </w:r>
      <w:r w:rsidRPr="00100AC9">
        <w:t>port language needs with oral interpretation and written translation following the same requirements and baselines above</w:t>
      </w:r>
      <w:r w:rsidRPr="002A084B">
        <w:t>, even when services are provided by subcontractors or grantees</w:t>
      </w:r>
      <w:r>
        <w:t>;</w:t>
      </w:r>
      <w:r w:rsidRPr="002A084B">
        <w:t xml:space="preserve"> 2) annually assess language needs and track language needs in their electronic data systems</w:t>
      </w:r>
      <w:r>
        <w:t>;</w:t>
      </w:r>
      <w:r w:rsidRPr="002A084B">
        <w:t xml:space="preserve"> 3) hire bilingual personnel as needed</w:t>
      </w:r>
      <w:r>
        <w:t>;</w:t>
      </w:r>
      <w:r w:rsidRPr="002A084B">
        <w:t xml:space="preserve"> 4) train staff on use of a telephonic interpretation line</w:t>
      </w:r>
      <w:r>
        <w:t>;</w:t>
      </w:r>
      <w:r w:rsidRPr="002A084B">
        <w:t xml:space="preserve"> and 5) provide multilingual signage.</w:t>
      </w:r>
      <w:r w:rsidRPr="00A05270">
        <w:rPr>
          <w:rStyle w:val="EndnoteReference"/>
        </w:rPr>
        <w:endnoteReference w:id="8"/>
      </w:r>
      <w:r>
        <w:t xml:space="preserve"> Only those “covered entities with major public contact”—mentioned in the Act or later designated by OHR—are required to designate language access coordinators; participate in the BLAP, quarterly reporting, and monitoring process; and pursue explicit community outreach surrounding language access.</w:t>
      </w:r>
      <w:r w:rsidRPr="00A05270">
        <w:rPr>
          <w:rStyle w:val="EndnoteReference"/>
        </w:rPr>
        <w:endnoteReference w:id="9"/>
      </w:r>
    </w:p>
    <w:p w:rsidR="00BC4EC1" w:rsidRPr="007430DE" w:rsidRDefault="00BC4EC1" w:rsidP="00BC4EC1">
      <w:pPr>
        <w:pStyle w:val="BodyTextFirstIndent"/>
      </w:pPr>
      <w:r w:rsidRPr="007430DE">
        <w:t xml:space="preserve">There was no mention of any specific languages in the Act, although one </w:t>
      </w:r>
      <w:r>
        <w:t xml:space="preserve">study </w:t>
      </w:r>
      <w:r w:rsidRPr="007430DE">
        <w:t xml:space="preserve">interviewee reported that at the </w:t>
      </w:r>
      <w:r>
        <w:t xml:space="preserve">DC Council </w:t>
      </w:r>
      <w:r w:rsidRPr="007430DE">
        <w:t>hearing</w:t>
      </w:r>
      <w:r>
        <w:t xml:space="preserve"> where the Language Access Act was passed</w:t>
      </w:r>
      <w:r w:rsidRPr="007430DE">
        <w:t xml:space="preserve">, </w:t>
      </w:r>
      <w:r>
        <w:t xml:space="preserve">the </w:t>
      </w:r>
      <w:r w:rsidRPr="007430DE">
        <w:t>six most commonly</w:t>
      </w:r>
      <w:r>
        <w:t xml:space="preserve"> </w:t>
      </w:r>
      <w:r w:rsidRPr="007430DE">
        <w:t xml:space="preserve">used languages were highlighted: Spanish, French, Amharic, Chinese, Vietnamese, and Korean. One interviewee involved in DCLAC recalled that they had referenced DCPS statistics in order to identify top language needs. </w:t>
      </w:r>
      <w:r>
        <w:t xml:space="preserve">Thus, </w:t>
      </w:r>
      <w:r w:rsidRPr="007430DE">
        <w:t>the exact origin of the list of six languages is</w:t>
      </w:r>
      <w:r>
        <w:t xml:space="preserve"> unclear</w:t>
      </w:r>
      <w:r w:rsidRPr="007430DE">
        <w:t>.</w:t>
      </w:r>
    </w:p>
    <w:p w:rsidR="00BC4EC1" w:rsidRDefault="00BC4EC1">
      <w:pPr>
        <w:spacing w:after="200" w:line="276" w:lineRule="auto"/>
        <w:jc w:val="left"/>
        <w:rPr>
          <w:rFonts w:ascii="Gill Sans MT" w:eastAsia="MS Gothic" w:hAnsi="Gill Sans MT"/>
          <w:b/>
          <w:bCs/>
          <w:color w:val="3090C4"/>
          <w:sz w:val="32"/>
          <w:szCs w:val="32"/>
        </w:rPr>
      </w:pPr>
      <w:r>
        <w:br w:type="page"/>
      </w:r>
    </w:p>
    <w:p w:rsidR="00BC4EC1" w:rsidRDefault="00BC4EC1" w:rsidP="00BC4EC1">
      <w:pPr>
        <w:pStyle w:val="Heading1"/>
      </w:pPr>
      <w:bookmarkStart w:id="8" w:name="_Toc384741710"/>
      <w:r w:rsidRPr="000817BE">
        <w:t>Evolution of DC’s Language Access Program</w:t>
      </w:r>
      <w:bookmarkEnd w:id="8"/>
    </w:p>
    <w:p w:rsidR="00BC4EC1" w:rsidRDefault="00BC4EC1" w:rsidP="00BC4EC1">
      <w:pPr>
        <w:pStyle w:val="BodyText"/>
      </w:pPr>
      <w:r w:rsidRPr="00F758A9">
        <w:t xml:space="preserve">Creating this major institutional change was a significant undertaking. All interviewees </w:t>
      </w:r>
      <w:r>
        <w:t xml:space="preserve">for this study </w:t>
      </w:r>
      <w:r w:rsidRPr="00F758A9">
        <w:t>described the trepidation surrounding the policy change and the worries at agencies about the additional logistical and financial burdens of complying with the Language Access Act. Many recalled how agencies were at different starting points in 2004</w:t>
      </w:r>
      <w:r>
        <w:t>;</w:t>
      </w:r>
      <w:r w:rsidRPr="00F758A9">
        <w:t xml:space="preserve"> some already provid</w:t>
      </w:r>
      <w:r>
        <w:t>ed</w:t>
      </w:r>
      <w:r w:rsidRPr="00F758A9">
        <w:t xml:space="preserve"> some Spanish-language </w:t>
      </w:r>
      <w:r>
        <w:t>support services</w:t>
      </w:r>
      <w:r w:rsidRPr="00F758A9">
        <w:t xml:space="preserve"> </w:t>
      </w:r>
      <w:r>
        <w:t xml:space="preserve">at </w:t>
      </w:r>
      <w:r w:rsidRPr="00F758A9">
        <w:t>the time of the Act</w:t>
      </w:r>
      <w:r>
        <w:t>’s passage</w:t>
      </w:r>
      <w:r w:rsidRPr="00F758A9">
        <w:t xml:space="preserve">, </w:t>
      </w:r>
      <w:r>
        <w:t>while</w:t>
      </w:r>
      <w:r w:rsidRPr="00F758A9">
        <w:t xml:space="preserve"> others </w:t>
      </w:r>
      <w:r>
        <w:t>had</w:t>
      </w:r>
      <w:r w:rsidRPr="00F758A9">
        <w:t xml:space="preserve"> virtually no language resources or knowledge of the language needs of clients. The agencies </w:t>
      </w:r>
      <w:r>
        <w:t xml:space="preserve">varied </w:t>
      </w:r>
      <w:r w:rsidRPr="00F758A9">
        <w:t xml:space="preserve">not only in function but also </w:t>
      </w:r>
      <w:r>
        <w:t xml:space="preserve">in </w:t>
      </w:r>
      <w:r w:rsidRPr="00F758A9">
        <w:t xml:space="preserve">size (number of employees and budget), as well as </w:t>
      </w:r>
      <w:r>
        <w:t>level 0f</w:t>
      </w:r>
      <w:r w:rsidRPr="00F758A9">
        <w:t xml:space="preserve"> interaction with and outreach to </w:t>
      </w:r>
      <w:r>
        <w:t>LEP/NEP</w:t>
      </w:r>
      <w:r w:rsidRPr="00F758A9">
        <w:t xml:space="preserve"> residents. </w:t>
      </w:r>
    </w:p>
    <w:p w:rsidR="00BC4EC1" w:rsidRDefault="00BC4EC1" w:rsidP="00BC4EC1">
      <w:pPr>
        <w:pStyle w:val="BodyTextFirstIndent"/>
      </w:pPr>
      <w:r w:rsidRPr="000817BE">
        <w:t xml:space="preserve">The creation of a new system of requirements, services, and reporting that would be applied in a diverse array of agency environments required significant coordination. The Office of Human Rights </w:t>
      </w:r>
      <w:r>
        <w:t>created</w:t>
      </w:r>
      <w:r w:rsidRPr="000817BE">
        <w:t xml:space="preserve"> a </w:t>
      </w:r>
      <w:r>
        <w:t xml:space="preserve">new </w:t>
      </w:r>
      <w:r w:rsidRPr="000817BE">
        <w:t>language access director</w:t>
      </w:r>
      <w:r>
        <w:t xml:space="preserve"> position; the candidate eventually chosen came</w:t>
      </w:r>
      <w:r w:rsidRPr="000817BE">
        <w:t xml:space="preserve"> from </w:t>
      </w:r>
      <w:r>
        <w:t>OHR’s</w:t>
      </w:r>
      <w:r w:rsidRPr="000817BE">
        <w:t xml:space="preserve"> existing staff. The </w:t>
      </w:r>
      <w:r>
        <w:t>d</w:t>
      </w:r>
      <w:r w:rsidRPr="000817BE">
        <w:t>irector</w:t>
      </w:r>
      <w:r>
        <w:t>, along with only one additional staff member,</w:t>
      </w:r>
      <w:r>
        <w:rPr>
          <w:rStyle w:val="EndnoteReference"/>
          <w:rFonts w:ascii="Calibri" w:hAnsi="Calibri"/>
        </w:rPr>
        <w:endnoteReference w:id="10"/>
      </w:r>
      <w:r>
        <w:t xml:space="preserve"> </w:t>
      </w:r>
      <w:r w:rsidRPr="000817BE">
        <w:t>coordinate</w:t>
      </w:r>
      <w:r>
        <w:t>d with</w:t>
      </w:r>
      <w:r w:rsidRPr="000817BE">
        <w:t xml:space="preserve"> agencies </w:t>
      </w:r>
      <w:r>
        <w:t>to</w:t>
      </w:r>
      <w:r w:rsidRPr="000817BE">
        <w:t xml:space="preserve"> </w:t>
      </w:r>
      <w:r>
        <w:t>designate</w:t>
      </w:r>
      <w:r w:rsidRPr="000817BE">
        <w:t xml:space="preserve"> language access coordinators (LACs) and conduct baseline assessments of </w:t>
      </w:r>
      <w:r>
        <w:t>agencies’</w:t>
      </w:r>
      <w:r w:rsidRPr="000817BE">
        <w:t xml:space="preserve"> language access needs and capacities</w:t>
      </w:r>
      <w:r w:rsidRPr="00C83DB6">
        <w:t>. One interviewee shared that in the early stages of implementation, OHR looked to other jurisdictions that had developed language access policies, including San Francisco and Oakland. OHR staff also participated in formal best</w:t>
      </w:r>
      <w:r>
        <w:t>-</w:t>
      </w:r>
      <w:r w:rsidRPr="00C83DB6">
        <w:t>practices sharing organized b</w:t>
      </w:r>
      <w:r>
        <w:t>y the Annie E. Casey Foundation</w:t>
      </w:r>
      <w:r w:rsidRPr="00C83DB6">
        <w:t xml:space="preserve">. </w:t>
      </w:r>
    </w:p>
    <w:p w:rsidR="00BC4EC1" w:rsidRDefault="00BC4EC1" w:rsidP="00BC4EC1">
      <w:pPr>
        <w:pStyle w:val="BodyTextFirstIndent"/>
      </w:pPr>
      <w:r w:rsidRPr="000817BE">
        <w:t xml:space="preserve">The funding for language access services was left to agencies, </w:t>
      </w:r>
      <w:r>
        <w:t xml:space="preserve">a dynamic described as an </w:t>
      </w:r>
      <w:r w:rsidRPr="000817BE">
        <w:t xml:space="preserve">“unfunded mandate” </w:t>
      </w:r>
      <w:r>
        <w:t>by</w:t>
      </w:r>
      <w:r w:rsidRPr="000817BE">
        <w:t xml:space="preserve"> all </w:t>
      </w:r>
      <w:r>
        <w:t>interviewees</w:t>
      </w:r>
      <w:r w:rsidRPr="000817BE">
        <w:t xml:space="preserve">. The resource base has varied </w:t>
      </w:r>
      <w:r>
        <w:t xml:space="preserve">significantly across agencies. In the </w:t>
      </w:r>
      <w:r w:rsidRPr="000817BE">
        <w:t>Department</w:t>
      </w:r>
      <w:r>
        <w:t>s</w:t>
      </w:r>
      <w:r w:rsidRPr="000817BE">
        <w:t xml:space="preserve"> of </w:t>
      </w:r>
      <w:r>
        <w:t>H</w:t>
      </w:r>
      <w:r w:rsidRPr="000817BE">
        <w:t xml:space="preserve">ealth </w:t>
      </w:r>
      <w:r>
        <w:t>and</w:t>
      </w:r>
      <w:r w:rsidRPr="000817BE">
        <w:t xml:space="preserve"> </w:t>
      </w:r>
      <w:r>
        <w:t>of H</w:t>
      </w:r>
      <w:r w:rsidRPr="000817BE">
        <w:t xml:space="preserve">uman </w:t>
      </w:r>
      <w:r>
        <w:t>Services, t</w:t>
      </w:r>
      <w:r w:rsidRPr="000817BE">
        <w:t>he LAC</w:t>
      </w:r>
      <w:r>
        <w:t xml:space="preserve"> has been</w:t>
      </w:r>
      <w:r w:rsidRPr="000817BE">
        <w:t xml:space="preserve"> a full-time position</w:t>
      </w:r>
      <w:r>
        <w:t xml:space="preserve">. At </w:t>
      </w:r>
      <w:r w:rsidRPr="000817BE">
        <w:t>the Metropolitan Police Department</w:t>
      </w:r>
      <w:r>
        <w:t>, a number of staff people are dedicated to</w:t>
      </w:r>
      <w:r w:rsidRPr="000817BE">
        <w:t xml:space="preserve"> language access </w:t>
      </w:r>
      <w:r>
        <w:t>and</w:t>
      </w:r>
      <w:r w:rsidRPr="000817BE">
        <w:t xml:space="preserve"> minority liaison </w:t>
      </w:r>
      <w:r>
        <w:t>work.</w:t>
      </w:r>
      <w:r w:rsidRPr="000817BE">
        <w:t xml:space="preserve"> </w:t>
      </w:r>
      <w:r>
        <w:t>At most agencies, the LAC role was</w:t>
      </w:r>
      <w:r w:rsidRPr="000817BE">
        <w:t xml:space="preserve"> </w:t>
      </w:r>
      <w:r>
        <w:t>added to the other duties of the individual chosen. Agencies report the amount of funding they spend on language access resources in their quarterly reports, mainly funds spent on document translations and telephone interpretation.</w:t>
      </w:r>
    </w:p>
    <w:p w:rsidR="00BC4EC1" w:rsidRDefault="00BC4EC1" w:rsidP="00BC4EC1">
      <w:pPr>
        <w:pStyle w:val="BodyTextFirstIndent"/>
      </w:pPr>
      <w:r>
        <w:t xml:space="preserve">The DCLAC, which was prescribed a key monitoring and consultative role in the Act, also faced resource constraints. The DCLAC is an informal coalition made up of immigrant-serving nonprofits (today it has 40 members). Funding for staffing a leadership position was provided by one member community-based organization (CBO) for several years; and in 2010, the outreach functions were spun out into a separate organization, Many Languages One Voice (MLOV). The core legal and strategic competence remains with DCLAC, which lacks dedicated paid staff. The </w:t>
      </w:r>
      <w:r w:rsidRPr="007A2A5C">
        <w:t>DCLAC regularly publishes opinions and advi</w:t>
      </w:r>
      <w:r>
        <w:t>ses OHR on language access policies; it also plays a key role in referring language access complaints and assisting individuals who experience violations of their rights under the Act.</w:t>
      </w:r>
      <w:r w:rsidRPr="007A2A5C">
        <w:t xml:space="preserve"> </w:t>
      </w:r>
    </w:p>
    <w:p w:rsidR="00BC4EC1" w:rsidRDefault="00BC4EC1" w:rsidP="00BC4EC1">
      <w:pPr>
        <w:pStyle w:val="BodyTextFirstIndent"/>
      </w:pPr>
      <w:r w:rsidRPr="000817BE">
        <w:t xml:space="preserve">In order to provide effective access </w:t>
      </w:r>
      <w:r>
        <w:t>to city services for LEP/NEP residents,</w:t>
      </w:r>
      <w:r w:rsidRPr="000817BE">
        <w:t xml:space="preserve"> </w:t>
      </w:r>
      <w:r>
        <w:t>stakeholders</w:t>
      </w:r>
      <w:r w:rsidRPr="000817BE">
        <w:t xml:space="preserve"> </w:t>
      </w:r>
      <w:r>
        <w:t xml:space="preserve">have </w:t>
      </w:r>
      <w:r w:rsidRPr="000817BE">
        <w:t>work</w:t>
      </w:r>
      <w:r>
        <w:t>ed</w:t>
      </w:r>
      <w:r w:rsidRPr="000817BE">
        <w:t xml:space="preserve"> </w:t>
      </w:r>
      <w:r>
        <w:t>in</w:t>
      </w:r>
      <w:r w:rsidRPr="000817BE">
        <w:t xml:space="preserve"> three major </w:t>
      </w:r>
      <w:r>
        <w:t>domains</w:t>
      </w:r>
      <w:r w:rsidRPr="000817BE">
        <w:t xml:space="preserve">: identifying language needs, serving language needs, </w:t>
      </w:r>
      <w:r w:rsidRPr="007D69C9">
        <w:t>and monitoring that service</w:t>
      </w:r>
      <w:r w:rsidRPr="00A05270">
        <w:t xml:space="preserve"> provision</w:t>
      </w:r>
      <w:r w:rsidRPr="007D69C9">
        <w:t>.</w:t>
      </w:r>
      <w:r w:rsidRPr="000817BE">
        <w:t xml:space="preserve"> </w:t>
      </w:r>
    </w:p>
    <w:p w:rsidR="00BC4EC1" w:rsidRPr="00D36874" w:rsidRDefault="00BC4EC1" w:rsidP="00BC4EC1">
      <w:pPr>
        <w:pStyle w:val="Heading2"/>
      </w:pPr>
      <w:bookmarkStart w:id="9" w:name="_Toc384741711"/>
      <w:r w:rsidRPr="00D36874">
        <w:t>Identifying Language Needs</w:t>
      </w:r>
      <w:bookmarkEnd w:id="9"/>
    </w:p>
    <w:p w:rsidR="00BC4EC1" w:rsidRDefault="00BC4EC1" w:rsidP="00BC4EC1">
      <w:pPr>
        <w:pStyle w:val="BodyText"/>
      </w:pPr>
      <w:r>
        <w:t xml:space="preserve">OHR, the agencies, and the consultative organizations shared the task of identifying language needs. </w:t>
      </w:r>
      <w:r w:rsidRPr="000817BE">
        <w:t>The initial</w:t>
      </w:r>
      <w:r>
        <w:t xml:space="preserve"> group of</w:t>
      </w:r>
      <w:r w:rsidRPr="000817BE">
        <w:t xml:space="preserve"> agencies put toget</w:t>
      </w:r>
      <w:r>
        <w:t>her baseline assessments, and</w:t>
      </w:r>
      <w:r w:rsidRPr="00C83DB6">
        <w:t xml:space="preserve"> an orientation session was held with OHR and the participating agencies.</w:t>
      </w:r>
      <w:r w:rsidRPr="000817BE">
        <w:t xml:space="preserve"> </w:t>
      </w:r>
      <w:r>
        <w:t xml:space="preserve">Agency understanding of client language needs was limited not only by a lack of understanding of how well language needs were being met, but also by the nature of their tracking data to document encounters with LEP/NEP clients. </w:t>
      </w:r>
      <w:r w:rsidRPr="000817BE">
        <w:t xml:space="preserve">OHR worked with agencies to help them figure out how to track usage of language access services and record client language </w:t>
      </w:r>
      <w:r>
        <w:t>needs in an agency-centralized manner by improving digital case management systems as well as training staff.</w:t>
      </w:r>
    </w:p>
    <w:p w:rsidR="00BC4EC1" w:rsidRDefault="00BC4EC1" w:rsidP="00BC4EC1">
      <w:pPr>
        <w:pStyle w:val="BodyTextFirstIndent"/>
      </w:pPr>
      <w:r>
        <w:t>Agencies also engaged in a</w:t>
      </w:r>
      <w:r w:rsidRPr="000817BE">
        <w:t xml:space="preserve"> </w:t>
      </w:r>
      <w:r>
        <w:t>r</w:t>
      </w:r>
      <w:r w:rsidRPr="000817BE">
        <w:t>ange of events and activities to raise public awareness about language access resources</w:t>
      </w:r>
      <w:r>
        <w:t xml:space="preserve"> and identify community needs, such as by providing multilingual interpretation and translated documents at informational and celebratory events, participating in job fairs and other public fora, and meeting with specific immigrant communities. Agencies reported</w:t>
      </w:r>
      <w:r w:rsidRPr="000817BE">
        <w:t xml:space="preserve"> working with other agencies and the </w:t>
      </w:r>
      <w:r>
        <w:t>m</w:t>
      </w:r>
      <w:r w:rsidRPr="000817BE">
        <w:t>ayor’s</w:t>
      </w:r>
      <w:r>
        <w:t xml:space="preserve"> constituent o</w:t>
      </w:r>
      <w:r w:rsidRPr="000817BE">
        <w:t>ffices to maximize public contact.</w:t>
      </w:r>
    </w:p>
    <w:p w:rsidR="00BC4EC1" w:rsidRPr="00D36874" w:rsidRDefault="00BC4EC1" w:rsidP="00BC4EC1">
      <w:pPr>
        <w:pStyle w:val="Heading2"/>
      </w:pPr>
      <w:bookmarkStart w:id="10" w:name="_Toc384741712"/>
      <w:r w:rsidRPr="00D36874">
        <w:t>Serving Language Needs</w:t>
      </w:r>
      <w:bookmarkEnd w:id="10"/>
    </w:p>
    <w:p w:rsidR="00BC4EC1" w:rsidRPr="000817BE" w:rsidRDefault="00BC4EC1" w:rsidP="00BC4EC1">
      <w:pPr>
        <w:pStyle w:val="BodyText"/>
      </w:pPr>
      <w:r>
        <w:t>OHR provided technical assistance to agencies in translating documents and providing telephonic or in-person interpretations. F</w:t>
      </w:r>
      <w:r w:rsidRPr="000817BE">
        <w:t>or the first group of eight agencies</w:t>
      </w:r>
      <w:r>
        <w:t xml:space="preserve">, OHR commissioned the translation of </w:t>
      </w:r>
      <w:r w:rsidRPr="000817BE">
        <w:t>vital document</w:t>
      </w:r>
      <w:r>
        <w:t>s</w:t>
      </w:r>
      <w:r w:rsidRPr="000817BE">
        <w:t xml:space="preserve"> into six languages: Spanish, French, Amharic, Chinese, Korean, and Vietnamese. After the first group, agencies were responsible for commissioning and paying for translations of vital documents</w:t>
      </w:r>
      <w:r>
        <w:t xml:space="preserve"> out of their own budgets</w:t>
      </w:r>
      <w:r w:rsidRPr="000817BE">
        <w:t xml:space="preserve">. </w:t>
      </w:r>
      <w:r>
        <w:t>A</w:t>
      </w:r>
      <w:r w:rsidRPr="000817BE">
        <w:t>gencies relied on</w:t>
      </w:r>
      <w:r>
        <w:t xml:space="preserve"> different providers, whose inconsistent quality led to an effort by the District to select three vetted citywide translation and interpretation vendors in 2012 </w:t>
      </w:r>
      <w:r w:rsidRPr="000817BE">
        <w:t>for all outsourcing</w:t>
      </w:r>
      <w:r>
        <w:t xml:space="preserve">. </w:t>
      </w:r>
      <w:r w:rsidRPr="000817BE">
        <w:t>Agencies were also responsible for providing telephonic or in-person interpretation.</w:t>
      </w:r>
      <w:r>
        <w:t xml:space="preserve"> At the time of the Act, there was a citywide contract for a telephonic interpretation service, which all agencies could access. T</w:t>
      </w:r>
      <w:r w:rsidRPr="000817BE">
        <w:t xml:space="preserve">raining efforts focused on ensuring that all </w:t>
      </w:r>
      <w:r>
        <w:t xml:space="preserve">frontline </w:t>
      </w:r>
      <w:r w:rsidRPr="000817BE">
        <w:t xml:space="preserve">staff </w:t>
      </w:r>
      <w:r>
        <w:t xml:space="preserve">members </w:t>
      </w:r>
      <w:r w:rsidRPr="000817BE">
        <w:t>were aware of the interpretation line and understoo</w:t>
      </w:r>
      <w:r>
        <w:t>d how to access it and offer it to clients in order to ensure their rights under the Act</w:t>
      </w:r>
      <w:r w:rsidRPr="000817BE">
        <w:t>. OHR developed training on the L</w:t>
      </w:r>
      <w:r>
        <w:t>anguage Access Act and services, and</w:t>
      </w:r>
      <w:r w:rsidRPr="000817BE">
        <w:t xml:space="preserve"> OHR staff </w:t>
      </w:r>
      <w:r>
        <w:t>participated</w:t>
      </w:r>
      <w:r w:rsidRPr="000817BE">
        <w:t xml:space="preserve"> directly in </w:t>
      </w:r>
      <w:r>
        <w:t xml:space="preserve">agency-level </w:t>
      </w:r>
      <w:r w:rsidRPr="000817BE">
        <w:t>staff trainings</w:t>
      </w:r>
      <w:r>
        <w:t xml:space="preserve"> by</w:t>
      </w:r>
      <w:r w:rsidRPr="000817BE">
        <w:t xml:space="preserve"> providing modules on language access and cultural competency. </w:t>
      </w:r>
      <w:r>
        <w:t>Training of frontline staff and managers was required by the Act</w:t>
      </w:r>
      <w:r w:rsidRPr="000817BE">
        <w:t>.</w:t>
      </w:r>
      <w:r>
        <w:t xml:space="preserve"> By 2004, s</w:t>
      </w:r>
      <w:r w:rsidRPr="000817BE">
        <w:t xml:space="preserve">ome agencies </w:t>
      </w:r>
      <w:r>
        <w:t xml:space="preserve">already </w:t>
      </w:r>
      <w:r w:rsidRPr="000817BE">
        <w:t xml:space="preserve">had small numbers of bilingual </w:t>
      </w:r>
      <w:r>
        <w:t>personnel (some to comply with federal requirements),</w:t>
      </w:r>
      <w:r w:rsidRPr="000817BE">
        <w:t xml:space="preserve"> </w:t>
      </w:r>
      <w:r>
        <w:t xml:space="preserve">and others </w:t>
      </w:r>
      <w:r w:rsidRPr="000817BE">
        <w:t xml:space="preserve">had </w:t>
      </w:r>
      <w:r>
        <w:t>no bilingual personnel at all</w:t>
      </w:r>
      <w:r w:rsidRPr="000817BE">
        <w:t>.</w:t>
      </w:r>
      <w:r>
        <w:t xml:space="preserve"> </w:t>
      </w:r>
    </w:p>
    <w:p w:rsidR="00BC4EC1" w:rsidRPr="00D36874" w:rsidRDefault="00BC4EC1" w:rsidP="00BC4EC1">
      <w:pPr>
        <w:pStyle w:val="Heading2"/>
      </w:pPr>
      <w:bookmarkStart w:id="11" w:name="_Toc384741713"/>
      <w:r w:rsidRPr="00D36874">
        <w:t>Monitoring</w:t>
      </w:r>
      <w:r>
        <w:t xml:space="preserve"> Language Access Services</w:t>
      </w:r>
      <w:bookmarkEnd w:id="11"/>
    </w:p>
    <w:p w:rsidR="00BC4EC1" w:rsidRDefault="00BC4EC1" w:rsidP="00BC4EC1">
      <w:pPr>
        <w:pStyle w:val="BodyText"/>
      </w:pPr>
      <w:r>
        <w:t>OHR had the key monitoring</w:t>
      </w:r>
      <w:r w:rsidRPr="000817BE">
        <w:t xml:space="preserve"> role, working with agencies through the LACs, whom </w:t>
      </w:r>
      <w:r>
        <w:t>OHR met with regularly and</w:t>
      </w:r>
      <w:r w:rsidRPr="000817BE">
        <w:t xml:space="preserve"> convene</w:t>
      </w:r>
      <w:r>
        <w:t>d</w:t>
      </w:r>
      <w:r w:rsidRPr="000817BE">
        <w:t xml:space="preserve"> quarterly</w:t>
      </w:r>
      <w:r>
        <w:t xml:space="preserve"> (bimonthly beginning in fiscal year 2013)</w:t>
      </w:r>
      <w:r w:rsidRPr="003529FA">
        <w:t>.</w:t>
      </w:r>
      <w:r w:rsidRPr="000817BE">
        <w:t xml:space="preserve"> OHR set up a reporting and monitoring structure whereby agencies would send quarterly reports to OHR on their implementation, and these </w:t>
      </w:r>
      <w:r>
        <w:t xml:space="preserve">reports </w:t>
      </w:r>
      <w:r w:rsidRPr="000817BE">
        <w:t xml:space="preserve">would be compiled to produce an annual compliance report that was made publicly </w:t>
      </w:r>
      <w:r w:rsidRPr="00C83DB6">
        <w:t xml:space="preserve">available. One interviewee </w:t>
      </w:r>
      <w:r>
        <w:t>commented</w:t>
      </w:r>
      <w:r w:rsidRPr="00C83DB6">
        <w:t xml:space="preserve"> that this reporting structure was designed to help institutionalize language access consciousness and activity</w:t>
      </w:r>
      <w:r>
        <w:t>,</w:t>
      </w:r>
      <w:r w:rsidRPr="00C83DB6">
        <w:t xml:space="preserve"> routinize the process at the agencies</w:t>
      </w:r>
      <w:r>
        <w:t>,</w:t>
      </w:r>
      <w:r w:rsidRPr="00C83DB6">
        <w:t xml:space="preserve"> </w:t>
      </w:r>
      <w:r>
        <w:t xml:space="preserve">and </w:t>
      </w:r>
      <w:r w:rsidRPr="00C83DB6">
        <w:t>raise the visibility and priority for language ac</w:t>
      </w:r>
      <w:r>
        <w:t>cess issues within agencies</w:t>
      </w:r>
      <w:r w:rsidRPr="00C83DB6">
        <w:t>.</w:t>
      </w:r>
      <w:r>
        <w:t xml:space="preserve"> OHR used the annual compliance report to report back to agencies and to the public about the accomplishments and continued gaps in compliance, developing a testing methodology that evolved significantly over time.</w:t>
      </w:r>
    </w:p>
    <w:p w:rsidR="00BC4EC1" w:rsidRDefault="00BC4EC1" w:rsidP="00BC4EC1">
      <w:pPr>
        <w:pStyle w:val="BodyTextFirstIndent"/>
        <w:rPr>
          <w:i/>
        </w:rPr>
      </w:pPr>
      <w:r>
        <w:t>OHR was also responsible for investigating complaints from the public about individual rights violations, eventually reporting the numbers of formal complaints and judged violations in the annual compliance report.</w:t>
      </w:r>
    </w:p>
    <w:p w:rsidR="00BC4EC1" w:rsidRDefault="00BC4EC1">
      <w:pPr>
        <w:spacing w:after="200" w:line="276" w:lineRule="auto"/>
        <w:jc w:val="left"/>
        <w:rPr>
          <w:rFonts w:ascii="Gill Sans MT" w:eastAsia="MS Gothic" w:hAnsi="Gill Sans MT"/>
          <w:b/>
          <w:bCs/>
          <w:color w:val="3090C4"/>
          <w:sz w:val="32"/>
          <w:szCs w:val="32"/>
        </w:rPr>
      </w:pPr>
      <w:r>
        <w:br w:type="page"/>
      </w:r>
    </w:p>
    <w:p w:rsidR="00BC4EC1" w:rsidRDefault="00BC4EC1" w:rsidP="00BC4EC1">
      <w:pPr>
        <w:pStyle w:val="Heading1"/>
      </w:pPr>
      <w:bookmarkStart w:id="12" w:name="_Toc384741714"/>
      <w:r w:rsidRPr="008021A1">
        <w:t xml:space="preserve">Demographic Analysis of the </w:t>
      </w:r>
      <w:r>
        <w:t>LEP/NEP</w:t>
      </w:r>
      <w:r w:rsidRPr="008021A1">
        <w:t xml:space="preserve"> Community</w:t>
      </w:r>
      <w:bookmarkEnd w:id="12"/>
    </w:p>
    <w:p w:rsidR="00BC4EC1" w:rsidRDefault="00BC4EC1" w:rsidP="00BC4EC1">
      <w:pPr>
        <w:pStyle w:val="BodyText"/>
      </w:pPr>
      <w:r w:rsidRPr="008021A1">
        <w:t xml:space="preserve">In this section, we describe the language and demographic characteristics of </w:t>
      </w:r>
      <w:r>
        <w:t>LEP/NEP</w:t>
      </w:r>
      <w:r w:rsidRPr="008021A1">
        <w:t xml:space="preserve"> individuals in the District of Columbia and the greater DC area using data from the American Community Survey (ACS).</w:t>
      </w:r>
      <w:r>
        <w:t xml:space="preserve"> </w:t>
      </w:r>
      <w:r w:rsidRPr="008021A1">
        <w:t>We present these data to provide one perspective on the needs that can be addressed through the Language Access Act of 2004.</w:t>
      </w:r>
      <w:r>
        <w:t xml:space="preserve"> </w:t>
      </w:r>
      <w:r w:rsidRPr="008021A1">
        <w:t xml:space="preserve">As explained </w:t>
      </w:r>
      <w:r>
        <w:t>earlier</w:t>
      </w:r>
      <w:r w:rsidRPr="008021A1">
        <w:t xml:space="preserve">, the Act is designed to serve the language needs of current and potential clients of </w:t>
      </w:r>
      <w:r>
        <w:t>DC</w:t>
      </w:r>
      <w:r w:rsidRPr="008021A1">
        <w:t xml:space="preserve"> city agencies. Because different agencies serve different subpopulations of </w:t>
      </w:r>
      <w:r>
        <w:t>LEP/NEP individual</w:t>
      </w:r>
      <w:r w:rsidRPr="008021A1">
        <w:t>s</w:t>
      </w:r>
      <w:r>
        <w:t xml:space="preserve"> </w:t>
      </w:r>
      <w:r w:rsidRPr="008021A1">
        <w:t xml:space="preserve">in </w:t>
      </w:r>
      <w:r>
        <w:t>the District</w:t>
      </w:r>
      <w:r w:rsidRPr="008021A1">
        <w:t xml:space="preserve"> (the elderly, workers, children, low-income families, </w:t>
      </w:r>
      <w:r>
        <w:t xml:space="preserve">business owners, </w:t>
      </w:r>
      <w:r w:rsidRPr="008021A1">
        <w:t xml:space="preserve">etc.), we provide demographic characteristics of </w:t>
      </w:r>
      <w:r>
        <w:t>LEP/NEP people and families</w:t>
      </w:r>
      <w:r w:rsidRPr="008021A1">
        <w:t xml:space="preserve">, to help policymakers and city agencies understand the contours of the population being served. Also, because some city agencies serve individuals who live outside the District but work, conduct business, or attend school in </w:t>
      </w:r>
      <w:r>
        <w:t>the District</w:t>
      </w:r>
      <w:r w:rsidRPr="008021A1">
        <w:t xml:space="preserve">, we present characteristics of </w:t>
      </w:r>
      <w:r>
        <w:t>LEP/NEP people and families</w:t>
      </w:r>
      <w:r w:rsidRPr="008021A1">
        <w:t xml:space="preserve"> living in the greater DC area as well as those who live within the boundaries of </w:t>
      </w:r>
      <w:r>
        <w:t>the District</w:t>
      </w:r>
      <w:r w:rsidRPr="008021A1">
        <w:t>. We define the greater DC area as the</w:t>
      </w:r>
      <w:r>
        <w:t xml:space="preserve"> D</w:t>
      </w:r>
      <w:r w:rsidRPr="00A74C52">
        <w:t xml:space="preserve">istrict </w:t>
      </w:r>
      <w:r w:rsidRPr="008021A1">
        <w:t xml:space="preserve">plus the counties directly surrounding </w:t>
      </w:r>
      <w:r>
        <w:t>it</w:t>
      </w:r>
      <w:r w:rsidRPr="008021A1">
        <w:t>: Montgomery and Prince George’s counties in Maryland</w:t>
      </w:r>
      <w:r>
        <w:t>;</w:t>
      </w:r>
      <w:r w:rsidRPr="008021A1">
        <w:t xml:space="preserve"> and Arlington County, Fairfax County (including Fairfax </w:t>
      </w:r>
      <w:r w:rsidRPr="00EE1A1C">
        <w:t>and Falls Church cities), and Alexandria City in Virginia.</w:t>
      </w:r>
    </w:p>
    <w:p w:rsidR="00BC4EC1" w:rsidRDefault="00BC4EC1" w:rsidP="00BC4EC1">
      <w:pPr>
        <w:pStyle w:val="BodyTextFirstIndent"/>
      </w:pPr>
      <w:r w:rsidRPr="00E0399E">
        <w:t>In this section</w:t>
      </w:r>
      <w:r>
        <w:t xml:space="preserve">, </w:t>
      </w:r>
      <w:r w:rsidRPr="00E0399E">
        <w:t>we show that roughly 5 percent of the population in the District is LEP/NEP. Over half of LEP/NEP individuals in the District speak Spanish, while other top languages include Amharic/Ethiopian, French, and Chinese, among others. About two-thirds of LEP/NEP households in the District are linguistically isolated (meaning that nobody above the age of 14 in the household is English proficient)</w:t>
      </w:r>
      <w:r>
        <w:t>;</w:t>
      </w:r>
      <w:r w:rsidRPr="00E0399E">
        <w:t xml:space="preserve"> one-third </w:t>
      </w:r>
      <w:r w:rsidR="00311C67">
        <w:t xml:space="preserve">of households </w:t>
      </w:r>
      <w:r w:rsidRPr="00E0399E">
        <w:t>contain an English</w:t>
      </w:r>
      <w:r>
        <w:t>-</w:t>
      </w:r>
      <w:r w:rsidRPr="00E0399E">
        <w:t>proficient teenager or adult. LEP/NEP residents in the District are particularly concentrated along the 16</w:t>
      </w:r>
      <w:r w:rsidRPr="006F2B8D">
        <w:t>th</w:t>
      </w:r>
      <w:r w:rsidRPr="00E0399E">
        <w:t xml:space="preserve"> Street and Georgia Avenue corridors in Wards 1 and 4</w:t>
      </w:r>
      <w:r>
        <w:t xml:space="preserve"> (figure 6)</w:t>
      </w:r>
      <w:r w:rsidRPr="00E0399E">
        <w:t>.</w:t>
      </w:r>
      <w:r>
        <w:t xml:space="preserve"> </w:t>
      </w:r>
    </w:p>
    <w:p w:rsidR="00BC4EC1" w:rsidRPr="008021A1" w:rsidRDefault="00BC4EC1" w:rsidP="00BC4EC1">
      <w:pPr>
        <w:pStyle w:val="BodyTextFirstIndent"/>
      </w:pPr>
      <w:r w:rsidRPr="008021A1">
        <w:t xml:space="preserve">These constraints mean that the analysis presented here should not be used </w:t>
      </w:r>
      <w:r>
        <w:rPr>
          <w:szCs w:val="22"/>
        </w:rPr>
        <w:t>alone</w:t>
      </w:r>
      <w:r w:rsidRPr="008021A1">
        <w:t xml:space="preserve"> to determine the language service needs for any particular agency</w:t>
      </w:r>
      <w:r>
        <w:t>.</w:t>
      </w:r>
      <w:r w:rsidRPr="008021A1">
        <w:t xml:space="preserve"> </w:t>
      </w:r>
      <w:r>
        <w:t>T</w:t>
      </w:r>
      <w:r w:rsidRPr="008021A1">
        <w:t>he findings can be useful, however, in combination with service usage data and primary data collection at the community level, alongside a recognition of the different characteristics of agencies’ client bases.</w:t>
      </w:r>
      <w:r>
        <w:t xml:space="preserve"> </w:t>
      </w:r>
    </w:p>
    <w:p w:rsidR="00BC4EC1" w:rsidRPr="008021A1" w:rsidRDefault="00BC4EC1" w:rsidP="00BC4EC1">
      <w:pPr>
        <w:contextualSpacing/>
      </w:pPr>
    </w:p>
    <w:p w:rsidR="00BC4EC1" w:rsidRDefault="00130D4E" w:rsidP="00BC4EC1">
      <w:pPr>
        <w:pStyle w:val="FigureandTableTitle"/>
      </w:pPr>
      <w:r>
        <w:rPr>
          <w:b w:val="0"/>
        </w:rPr>
        <w:drawing>
          <wp:anchor distT="0" distB="91440" distL="114300" distR="114300" simplePos="0" relativeHeight="251653632" behindDoc="0" locked="0" layoutInCell="1" allowOverlap="0" wp14:anchorId="7A5F35E9" wp14:editId="31A42328">
            <wp:simplePos x="0" y="0"/>
            <wp:positionH relativeFrom="column">
              <wp:posOffset>0</wp:posOffset>
            </wp:positionH>
            <wp:positionV relativeFrom="paragraph">
              <wp:posOffset>405130</wp:posOffset>
            </wp:positionV>
            <wp:extent cx="4183380" cy="5414010"/>
            <wp:effectExtent l="0" t="0" r="7620" b="0"/>
            <wp:wrapTopAndBottom/>
            <wp:docPr id="57" name="Picture 12" descr="Census_Tra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nsus_Tract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3380" cy="5414010"/>
                    </a:xfrm>
                    <a:prstGeom prst="rect">
                      <a:avLst/>
                    </a:prstGeom>
                    <a:noFill/>
                  </pic:spPr>
                </pic:pic>
              </a:graphicData>
            </a:graphic>
            <wp14:sizeRelH relativeFrom="page">
              <wp14:pctWidth>0</wp14:pctWidth>
            </wp14:sizeRelH>
            <wp14:sizeRelV relativeFrom="page">
              <wp14:pctHeight>0</wp14:pctHeight>
            </wp14:sizeRelV>
          </wp:anchor>
        </w:drawing>
      </w:r>
      <w:r w:rsidR="00BC4EC1">
        <w:t xml:space="preserve">Figure 6. </w:t>
      </w:r>
      <w:r w:rsidR="00BC4EC1" w:rsidRPr="00434B85">
        <w:t xml:space="preserve">Share of Residents </w:t>
      </w:r>
      <w:r w:rsidR="00BC4EC1">
        <w:t>A</w:t>
      </w:r>
      <w:r w:rsidR="00BC4EC1" w:rsidRPr="00434B85">
        <w:t xml:space="preserve">ge 5 and </w:t>
      </w:r>
      <w:r w:rsidR="00BC4EC1">
        <w:t>O</w:t>
      </w:r>
      <w:r w:rsidR="00BC4EC1" w:rsidRPr="00434B85">
        <w:t>lder Who Are LEP/NEP</w:t>
      </w:r>
      <w:r w:rsidR="00BC4EC1">
        <w:t>,</w:t>
      </w:r>
      <w:r w:rsidR="00BC4EC1" w:rsidRPr="00434B85">
        <w:t xml:space="preserve"> by Census Tract and Ward in the District</w:t>
      </w:r>
      <w:r w:rsidR="006F2B8D">
        <w:t xml:space="preserve"> of Columbia.</w:t>
      </w:r>
    </w:p>
    <w:p w:rsidR="00BC4EC1" w:rsidRDefault="00130D4E" w:rsidP="00BC4EC1">
      <w:r>
        <w:rPr>
          <w:noProof/>
        </w:rPr>
        <w:drawing>
          <wp:anchor distT="0" distB="0" distL="114300" distR="114300" simplePos="0" relativeHeight="251652608" behindDoc="0" locked="0" layoutInCell="1" allowOverlap="1" wp14:anchorId="00E58496" wp14:editId="001C13D0">
            <wp:simplePos x="0" y="0"/>
            <wp:positionH relativeFrom="column">
              <wp:posOffset>89535</wp:posOffset>
            </wp:positionH>
            <wp:positionV relativeFrom="paragraph">
              <wp:posOffset>2670810</wp:posOffset>
            </wp:positionV>
            <wp:extent cx="1078230" cy="2527300"/>
            <wp:effectExtent l="0" t="0" r="0" b="0"/>
            <wp:wrapNone/>
            <wp:docPr id="5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r="80338" b="11212"/>
                    <a:stretch>
                      <a:fillRect/>
                    </a:stretch>
                  </pic:blipFill>
                  <pic:spPr bwMode="auto">
                    <a:xfrm>
                      <a:off x="0" y="0"/>
                      <a:ext cx="1078230" cy="2527300"/>
                    </a:xfrm>
                    <a:prstGeom prst="rect">
                      <a:avLst/>
                    </a:prstGeom>
                    <a:noFill/>
                  </pic:spPr>
                </pic:pic>
              </a:graphicData>
            </a:graphic>
            <wp14:sizeRelH relativeFrom="page">
              <wp14:pctWidth>0</wp14:pctWidth>
            </wp14:sizeRelH>
            <wp14:sizeRelV relativeFrom="page">
              <wp14:pctHeight>0</wp14:pctHeight>
            </wp14:sizeRelV>
          </wp:anchor>
        </w:drawing>
      </w:r>
    </w:p>
    <w:p w:rsidR="00BC4EC1" w:rsidRDefault="00BC4EC1" w:rsidP="00BC4EC1">
      <w:pPr>
        <w:pStyle w:val="FigureandTableNotes"/>
      </w:pPr>
      <w:r w:rsidRPr="00C24AEA">
        <w:rPr>
          <w:i/>
        </w:rPr>
        <w:t xml:space="preserve">Source: </w:t>
      </w:r>
      <w:r w:rsidRPr="00C24AEA">
        <w:t xml:space="preserve">ACS </w:t>
      </w:r>
      <w:r w:rsidRPr="00F906D6">
        <w:t xml:space="preserve">2012 </w:t>
      </w:r>
      <w:r>
        <w:t>five</w:t>
      </w:r>
      <w:r w:rsidRPr="00C24AEA">
        <w:t xml:space="preserve">-year estimates accessed through </w:t>
      </w:r>
      <w:r w:rsidRPr="00F906D6">
        <w:t xml:space="preserve">the </w:t>
      </w:r>
      <w:r w:rsidRPr="00F906D6">
        <w:rPr>
          <w:color w:val="000000"/>
          <w:shd w:val="clear" w:color="auto" w:fill="FFFAF1"/>
        </w:rPr>
        <w:t>National Historical Geographic Information System (</w:t>
      </w:r>
      <w:r w:rsidRPr="00F906D6">
        <w:t>Minnesota Population Center 2011)</w:t>
      </w:r>
      <w:r w:rsidRPr="00C24AEA">
        <w:t>.</w:t>
      </w:r>
    </w:p>
    <w:p w:rsidR="00BC4EC1" w:rsidRDefault="00BC4EC1">
      <w:pPr>
        <w:spacing w:after="200" w:line="276" w:lineRule="auto"/>
        <w:jc w:val="left"/>
        <w:rPr>
          <w:b/>
          <w:bCs/>
          <w:szCs w:val="18"/>
        </w:rPr>
      </w:pPr>
      <w:r>
        <w:br w:type="page"/>
      </w:r>
    </w:p>
    <w:p w:rsidR="00BC4EC1" w:rsidRDefault="00130D4E">
      <w:pPr>
        <w:spacing w:after="200" w:line="276" w:lineRule="auto"/>
        <w:jc w:val="left"/>
        <w:rPr>
          <w:rFonts w:eastAsia="MS Gothic"/>
          <w:b/>
          <w:bCs/>
          <w:sz w:val="24"/>
          <w:u w:val="single"/>
          <w:lang w:val="x-none" w:eastAsia="x-none"/>
        </w:rPr>
      </w:pPr>
      <w:r>
        <w:rPr>
          <w:noProof/>
        </w:rPr>
        <mc:AlternateContent>
          <mc:Choice Requires="wps">
            <w:drawing>
              <wp:anchor distT="0" distB="0" distL="114300" distR="114300" simplePos="0" relativeHeight="251651584" behindDoc="0" locked="0" layoutInCell="1" allowOverlap="0" wp14:anchorId="5030B135" wp14:editId="770B2EC1">
                <wp:simplePos x="0" y="0"/>
                <wp:positionH relativeFrom="margin">
                  <wp:align>left</wp:align>
                </wp:positionH>
                <wp:positionV relativeFrom="margin">
                  <wp:align>top</wp:align>
                </wp:positionV>
                <wp:extent cx="5951855" cy="7278370"/>
                <wp:effectExtent l="0" t="0" r="10795" b="1778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855" cy="7278370"/>
                        </a:xfrm>
                        <a:prstGeom prst="rect">
                          <a:avLst/>
                        </a:prstGeom>
                        <a:noFill/>
                        <a:ln w="6350">
                          <a:solidFill>
                            <a:srgbClr val="3090C4"/>
                          </a:solidFill>
                        </a:ln>
                        <a:effectLst/>
                      </wps:spPr>
                      <wps:style>
                        <a:lnRef idx="0">
                          <a:schemeClr val="accent1"/>
                        </a:lnRef>
                        <a:fillRef idx="0">
                          <a:schemeClr val="accent1"/>
                        </a:fillRef>
                        <a:effectRef idx="0">
                          <a:schemeClr val="accent1"/>
                        </a:effectRef>
                        <a:fontRef idx="minor">
                          <a:schemeClr val="dk1"/>
                        </a:fontRef>
                      </wps:style>
                      <wps:txbx>
                        <w:txbxContent>
                          <w:p w:rsidR="006D58CF" w:rsidRPr="009C7207" w:rsidRDefault="006D58CF" w:rsidP="00BC4EC1">
                            <w:pPr>
                              <w:pStyle w:val="FigureandTableTitle"/>
                            </w:pPr>
                            <w:r>
                              <w:t xml:space="preserve">About the </w:t>
                            </w:r>
                            <w:r w:rsidRPr="00EE1A1C">
                              <w:t>Data</w:t>
                            </w:r>
                          </w:p>
                          <w:p w:rsidR="006D58CF" w:rsidRPr="002114E7" w:rsidRDefault="006D58CF" w:rsidP="00BC4EC1">
                            <w:pPr>
                              <w:pStyle w:val="Boxtext"/>
                              <w:rPr>
                                <w:rStyle w:val="CommentReference"/>
                                <w:rFonts w:eastAsia="MS Mincho"/>
                                <w:b/>
                                <w:noProof/>
                              </w:rPr>
                            </w:pPr>
                            <w:r w:rsidRPr="00EE1A1C">
                              <w:t>We use the American Community Survey</w:t>
                            </w:r>
                            <w:r>
                              <w:t xml:space="preserve"> (ACS)</w:t>
                            </w:r>
                            <w:r w:rsidRPr="00EE1A1C">
                              <w:t xml:space="preserve"> to describe the </w:t>
                            </w:r>
                            <w:r>
                              <w:t>LEP/NEP</w:t>
                            </w:r>
                            <w:r w:rsidRPr="00EE1A1C">
                              <w:t xml:space="preserve"> population because it is, by far, the largest survey in the United States that captures detailed information on </w:t>
                            </w:r>
                            <w:r>
                              <w:t xml:space="preserve">such </w:t>
                            </w:r>
                            <w:r w:rsidRPr="00EE1A1C">
                              <w:t>topics as US residents’ country of birth, language spoken at home, and English</w:t>
                            </w:r>
                            <w:r>
                              <w:t>-</w:t>
                            </w:r>
                            <w:r w:rsidRPr="00EE1A1C">
                              <w:t xml:space="preserve">speaking ability. The ACS is the only </w:t>
                            </w:r>
                            <w:r>
                              <w:t xml:space="preserve">data </w:t>
                            </w:r>
                            <w:r w:rsidRPr="00EE1A1C">
                              <w:t xml:space="preserve">source that provides detailed characteristics of immigrants and </w:t>
                            </w:r>
                            <w:r>
                              <w:t>LEP/NEP</w:t>
                            </w:r>
                            <w:r w:rsidRPr="00EE1A1C">
                              <w:t xml:space="preserve"> individuals in </w:t>
                            </w:r>
                            <w:r>
                              <w:t>the District</w:t>
                            </w:r>
                            <w:r w:rsidRPr="00EE1A1C">
                              <w:t xml:space="preserve"> from a diverse set of countries and language groups. In this section, we draw on data both from tables produced by the US Census Bureau, accessed through American </w:t>
                            </w:r>
                            <w:proofErr w:type="spellStart"/>
                            <w:r w:rsidRPr="00EE1A1C">
                              <w:t>FactFinder</w:t>
                            </w:r>
                            <w:proofErr w:type="spellEnd"/>
                            <w:r w:rsidRPr="00EE1A1C">
                              <w:t>, and tables we created ourselves using the ACS public use microdata sample (PUMS).</w:t>
                            </w:r>
                            <w:r w:rsidRPr="00EE1A1C">
                              <w:rPr>
                                <w:rStyle w:val="CommentReference"/>
                                <w:sz w:val="24"/>
                                <w:szCs w:val="24"/>
                              </w:rPr>
                              <w:t xml:space="preserve"> </w:t>
                            </w:r>
                          </w:p>
                          <w:p w:rsidR="006D58CF" w:rsidRDefault="006D58CF" w:rsidP="00BC4EC1">
                            <w:pPr>
                              <w:pStyle w:val="Boxtext"/>
                              <w:rPr>
                                <w:i/>
                              </w:rPr>
                            </w:pPr>
                            <w:r w:rsidRPr="00EE1A1C">
                              <w:t>The ACS is the survey that replaced the “long form” of the decennial census. It captures more detailed demographic and household characteristics than the decennial census, on a large, representative sample of US households</w:t>
                            </w:r>
                            <w:r>
                              <w:t>—</w:t>
                            </w:r>
                            <w:r w:rsidRPr="00EE1A1C">
                              <w:t xml:space="preserve">about 1 in 38 households per year. In addition, because the ACS collects information on a yearly basis, we are able to combine information from multiple years to create a larger sample size. Nevertheless, the ACS has some coverage gaps, especially for </w:t>
                            </w:r>
                            <w:r>
                              <w:t>LEP/NEP</w:t>
                            </w:r>
                            <w:r w:rsidRPr="00EE1A1C">
                              <w:t xml:space="preserve"> individuals and immigrants, which we describe in </w:t>
                            </w:r>
                            <w:r>
                              <w:t>a</w:t>
                            </w:r>
                            <w:r w:rsidRPr="00EE1A1C">
                              <w:t xml:space="preserve">ppendix </w:t>
                            </w:r>
                            <w:r>
                              <w:t>A</w:t>
                            </w:r>
                            <w:r w:rsidRPr="00EE1A1C">
                              <w:t>. We also detail the Census Bureau</w:t>
                            </w:r>
                            <w:r>
                              <w:t>’s</w:t>
                            </w:r>
                            <w:r w:rsidRPr="00EE1A1C">
                              <w:t xml:space="preserve"> substantial efforts to provide translation and interpretation services and to include </w:t>
                            </w:r>
                            <w:r>
                              <w:t>LEP/NEP</w:t>
                            </w:r>
                            <w:r w:rsidRPr="00EE1A1C">
                              <w:t xml:space="preserve"> individuals in the ACS to the greatest extent possible. </w:t>
                            </w:r>
                          </w:p>
                          <w:p w:rsidR="006D58CF" w:rsidRDefault="006D58CF" w:rsidP="00BC4EC1">
                            <w:pPr>
                              <w:pStyle w:val="Boxtext"/>
                            </w:pPr>
                            <w:r w:rsidRPr="008021A1">
                              <w:t>The American Community Survey collects information on individuals’ English speaking ability and home language using three questions.</w:t>
                            </w:r>
                            <w:r>
                              <w:t xml:space="preserve"> </w:t>
                            </w:r>
                            <w:r w:rsidRPr="008021A1">
                              <w:t xml:space="preserve">First, respondents are asked whether they speak a language other than English at home. If they answer yes, they are asked to report what language they speak at home. Only one language is captured, so those who speak more than </w:t>
                            </w:r>
                            <w:r>
                              <w:t>one</w:t>
                            </w:r>
                            <w:r w:rsidRPr="00A74C52">
                              <w:t xml:space="preserve"> </w:t>
                            </w:r>
                            <w:r w:rsidRPr="008021A1">
                              <w:t>language at home must pick a single language to list. Because the language spoken at home is self-reported, the Census Bureau tabulates languages in the way they are recorded. For example, some individuals write down a language category, rather than a specific language</w:t>
                            </w:r>
                            <w:r>
                              <w:t>:</w:t>
                            </w:r>
                            <w:r w:rsidRPr="008021A1">
                              <w:t xml:space="preserve"> a large portion of those who speak a Chinese language write down “Chinese” rather than “Mandarin,” “Cantonese,” or another specific Chinese language. Further, in order to protect confidentiality and simplify data tables and datasets, the Census Bureau combines some less-common languages into categories. For example, the language Tigrinya is combined with Amharic into the category “</w:t>
                            </w:r>
                            <w:r w:rsidRPr="00A74C52">
                              <w:t>Am</w:t>
                            </w:r>
                            <w:r>
                              <w:t>h</w:t>
                            </w:r>
                            <w:r w:rsidRPr="00A74C52">
                              <w:t>aric</w:t>
                            </w:r>
                            <w:r w:rsidRPr="008021A1">
                              <w:t xml:space="preserve">/Ethiopian.” </w:t>
                            </w:r>
                          </w:p>
                          <w:p w:rsidR="006D58CF" w:rsidRDefault="006D58CF" w:rsidP="00BC4EC1">
                            <w:pPr>
                              <w:pStyle w:val="Boxtext"/>
                            </w:pPr>
                            <w:r w:rsidRPr="008021A1">
                              <w:t>After writing down the language spoken at home, individuals who speak a language other than English at home are then asked “How well do you speak English</w:t>
                            </w:r>
                            <w:r>
                              <w:t>?</w:t>
                            </w:r>
                            <w:r w:rsidRPr="008021A1">
                              <w:t>” and are presented with the response categories “Very well</w:t>
                            </w:r>
                            <w:r>
                              <w:t>,</w:t>
                            </w:r>
                            <w:r w:rsidRPr="008021A1">
                              <w:t>” “Well</w:t>
                            </w:r>
                            <w:r>
                              <w:t>,</w:t>
                            </w:r>
                            <w:r w:rsidRPr="008021A1">
                              <w:t>” “Not well</w:t>
                            </w:r>
                            <w:r>
                              <w:t>,</w:t>
                            </w:r>
                            <w:r w:rsidRPr="008021A1">
                              <w:t>” and “Not at all.” Researchers generally define those who speak “Well” “Not well” or “Not at all” as limited English proficient (LEP).</w:t>
                            </w:r>
                            <w:r>
                              <w:t xml:space="preserve"> Those who speak English “Not at all” are sometimes classified as non–English proficient (NEP). </w:t>
                            </w:r>
                            <w:r w:rsidRPr="00A251A5">
                              <w:t xml:space="preserve">While reports of English ability are subjective, and different individuals may have different thresholds for determining that they speak English “very well,” these measures have been shown to correlate, overall, with English ability as measured through more specific questions and language tests (Siegel, Martin, and Bruno 2001). </w:t>
                            </w:r>
                          </w:p>
                          <w:p w:rsidR="006D58CF" w:rsidRDefault="006D58CF" w:rsidP="00BC4EC1">
                            <w:pPr>
                              <w:pStyle w:val="Boxtext"/>
                            </w:pPr>
                            <w:r w:rsidRPr="008021A1">
                              <w:t xml:space="preserve">While the ACS is the best source of secondary data for providing an overview of the </w:t>
                            </w:r>
                            <w:r>
                              <w:t>LEP/NEP</w:t>
                            </w:r>
                            <w:r w:rsidRPr="008021A1">
                              <w:t xml:space="preserve"> </w:t>
                            </w:r>
                            <w:r>
                              <w:rPr>
                                <w:szCs w:val="22"/>
                              </w:rPr>
                              <w:t>population</w:t>
                            </w:r>
                            <w:r w:rsidRPr="008021A1">
                              <w:t xml:space="preserve"> at the local level, the sample sizes are too small to permit a ranking of the top six or ten languages spoken in the </w:t>
                            </w:r>
                            <w:r>
                              <w:t>D</w:t>
                            </w:r>
                            <w:r w:rsidRPr="008021A1">
                              <w:t xml:space="preserve">istrict among </w:t>
                            </w:r>
                            <w:r>
                              <w:t>LEP/NEP individuals</w:t>
                            </w:r>
                            <w:r w:rsidRPr="008021A1">
                              <w:t xml:space="preserve"> with any great certainty.</w:t>
                            </w:r>
                            <w:r>
                              <w:t xml:space="preserve"> Beyond the top language spoken (Spanish), we cannot state with high confidence that language number two in the 2012 ACS is really more common among LEP/NEP individuals</w:t>
                            </w:r>
                            <w:r w:rsidRPr="008021A1">
                              <w:t xml:space="preserve"> in </w:t>
                            </w:r>
                            <w:r>
                              <w:t>the District</w:t>
                            </w:r>
                            <w:r w:rsidRPr="008021A1">
                              <w:t xml:space="preserve"> than language number</w:t>
                            </w:r>
                            <w:r>
                              <w:t xml:space="preserve"> three, </w:t>
                            </w:r>
                            <w:r w:rsidRPr="008021A1">
                              <w:t xml:space="preserve">or if the difference </w:t>
                            </w:r>
                            <w:r>
                              <w:t xml:space="preserve">stems from </w:t>
                            </w:r>
                            <w:r w:rsidRPr="008021A1">
                              <w:t>unavoidable random sampling error</w:t>
                            </w:r>
                            <w:r>
                              <w:t xml:space="preserve">. What we can say is that language number two is more common than language number four or five, for example, or that language number four in the greater DC area is more common than languages eight through ten. Despite this limitation, we include some rank orderings of languages below to give a suggestion of the top languages. </w:t>
                            </w:r>
                            <w:r w:rsidRPr="008021A1">
                              <w:t xml:space="preserve">Further, some newer or smaller immigrant communities may be too small to appear yet in the Census data, even though they may represent a sizable portion of the service population of a </w:t>
                            </w:r>
                            <w:r>
                              <w:t>particular</w:t>
                            </w:r>
                            <w:r w:rsidRPr="008021A1">
                              <w:t xml:space="preserve"> DC agency. </w:t>
                            </w:r>
                          </w:p>
                        </w:txbxContent>
                      </wps:txbx>
                      <wps:bodyPr rot="0" spcFirstLastPara="0" vertOverflow="overflow" horzOverflow="overflow" vert="horz" wrap="square" lIns="91440" tIns="0" rIns="9144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0;margin-top:0;width:468.65pt;height:573.1pt;z-index:251651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" o:allowoverlap="f" filled="f" strokecolor="#3090c4" strokeweight=".5pt">
                <v:path arrowok="t"/>
                <v:textbox style="mso-fit-shape-to-text:t" inset=",0,,7.2pt">
                  <w:txbxContent>
                    <w:p w:rsidR="006D58CF" w:rsidRPr="009C7207" w:rsidRDefault="006D58CF" w:rsidP="00BC4EC1">
                      <w:pPr>
                        <w:pStyle w:val="FigureandTableTitle"/>
                      </w:pPr>
                      <w:r>
                        <w:t xml:space="preserve">About the </w:t>
                      </w:r>
                      <w:r w:rsidRPr="00EE1A1C">
                        <w:t>Data</w:t>
                      </w:r>
                    </w:p>
                    <w:p w:rsidR="006D58CF" w:rsidRPr="002114E7" w:rsidRDefault="006D58CF" w:rsidP="00BC4EC1">
                      <w:pPr>
                        <w:pStyle w:val="Boxtext"/>
                        <w:rPr>
                          <w:rStyle w:val="CommentReference"/>
                          <w:rFonts w:eastAsia="MS Mincho"/>
                          <w:b/>
                          <w:noProof/>
                        </w:rPr>
                      </w:pPr>
                      <w:r w:rsidRPr="00EE1A1C">
                        <w:t>We use the American Community Survey</w:t>
                      </w:r>
                      <w:r>
                        <w:t xml:space="preserve"> (ACS)</w:t>
                      </w:r>
                      <w:r w:rsidRPr="00EE1A1C">
                        <w:t xml:space="preserve"> to describe the </w:t>
                      </w:r>
                      <w:r>
                        <w:t>LEP/NEP</w:t>
                      </w:r>
                      <w:r w:rsidRPr="00EE1A1C">
                        <w:t xml:space="preserve"> population because it is, by far, the largest survey in the United States that captures detailed information on </w:t>
                      </w:r>
                      <w:r>
                        <w:t xml:space="preserve">such </w:t>
                      </w:r>
                      <w:r w:rsidRPr="00EE1A1C">
                        <w:t>topics as US residents’ country of birth, language spoken at home, and English</w:t>
                      </w:r>
                      <w:r>
                        <w:t>-</w:t>
                      </w:r>
                      <w:r w:rsidRPr="00EE1A1C">
                        <w:t xml:space="preserve">speaking ability. The ACS is the only </w:t>
                      </w:r>
                      <w:r>
                        <w:t xml:space="preserve">data </w:t>
                      </w:r>
                      <w:r w:rsidRPr="00EE1A1C">
                        <w:t xml:space="preserve">source that provides detailed characteristics of immigrants and </w:t>
                      </w:r>
                      <w:r>
                        <w:t>LEP/NEP</w:t>
                      </w:r>
                      <w:r w:rsidRPr="00EE1A1C">
                        <w:t xml:space="preserve"> individuals in </w:t>
                      </w:r>
                      <w:r>
                        <w:t>the District</w:t>
                      </w:r>
                      <w:r w:rsidRPr="00EE1A1C">
                        <w:t xml:space="preserve"> from a diverse set of countries and language groups. In this section, we draw on data both from tables produced by the US Census Bureau, accessed through American </w:t>
                      </w:r>
                      <w:proofErr w:type="spellStart"/>
                      <w:r w:rsidRPr="00EE1A1C">
                        <w:t>FactFinder</w:t>
                      </w:r>
                      <w:proofErr w:type="spellEnd"/>
                      <w:r w:rsidRPr="00EE1A1C">
                        <w:t>, and tables we created ourselves using the ACS public use microdata sample (PUMS).</w:t>
                      </w:r>
                      <w:r w:rsidRPr="00EE1A1C">
                        <w:rPr>
                          <w:rStyle w:val="CommentReference"/>
                          <w:sz w:val="24"/>
                          <w:szCs w:val="24"/>
                        </w:rPr>
                        <w:t xml:space="preserve"> </w:t>
                      </w:r>
                    </w:p>
                    <w:p w:rsidR="006D58CF" w:rsidRDefault="006D58CF" w:rsidP="00BC4EC1">
                      <w:pPr>
                        <w:pStyle w:val="Boxtext"/>
                        <w:rPr>
                          <w:i/>
                        </w:rPr>
                      </w:pPr>
                      <w:r w:rsidRPr="00EE1A1C">
                        <w:t>The ACS is the survey that replaced the “long form” of the decennial census. It captures more detailed demographic and household characteristics than the decennial census, on a large, representative sample of US households</w:t>
                      </w:r>
                      <w:r>
                        <w:t>—</w:t>
                      </w:r>
                      <w:r w:rsidRPr="00EE1A1C">
                        <w:t xml:space="preserve">about 1 in 38 households per year. In addition, because the ACS collects information on a yearly basis, we are able to combine information from multiple years to create a larger sample size. Nevertheless, the ACS has some coverage gaps, especially for </w:t>
                      </w:r>
                      <w:r>
                        <w:t>LEP/NEP</w:t>
                      </w:r>
                      <w:r w:rsidRPr="00EE1A1C">
                        <w:t xml:space="preserve"> individuals and immigrants, which we describe in </w:t>
                      </w:r>
                      <w:r>
                        <w:t>a</w:t>
                      </w:r>
                      <w:r w:rsidRPr="00EE1A1C">
                        <w:t xml:space="preserve">ppendix </w:t>
                      </w:r>
                      <w:r>
                        <w:t>A</w:t>
                      </w:r>
                      <w:r w:rsidRPr="00EE1A1C">
                        <w:t>. We also detail the Census Bureau</w:t>
                      </w:r>
                      <w:r>
                        <w:t>’s</w:t>
                      </w:r>
                      <w:r w:rsidRPr="00EE1A1C">
                        <w:t xml:space="preserve"> substantial efforts to provide translation and interpretation services and to include </w:t>
                      </w:r>
                      <w:r>
                        <w:t>LEP/NEP</w:t>
                      </w:r>
                      <w:r w:rsidRPr="00EE1A1C">
                        <w:t xml:space="preserve"> individuals in the ACS to the greatest extent possible. </w:t>
                      </w:r>
                    </w:p>
                    <w:p w:rsidR="006D58CF" w:rsidRDefault="006D58CF" w:rsidP="00BC4EC1">
                      <w:pPr>
                        <w:pStyle w:val="Boxtext"/>
                      </w:pPr>
                      <w:r w:rsidRPr="008021A1">
                        <w:t>The American Community Survey collects information on individuals’ English speaking ability and home language using three questions.</w:t>
                      </w:r>
                      <w:r>
                        <w:t xml:space="preserve"> </w:t>
                      </w:r>
                      <w:r w:rsidRPr="008021A1">
                        <w:t xml:space="preserve">First, respondents are asked whether they speak a language other than English at home. If they answer yes, they are asked to report what language they speak at home. Only one language is captured, so those who speak more than </w:t>
                      </w:r>
                      <w:r>
                        <w:t>one</w:t>
                      </w:r>
                      <w:r w:rsidRPr="00A74C52">
                        <w:t xml:space="preserve"> </w:t>
                      </w:r>
                      <w:r w:rsidRPr="008021A1">
                        <w:t>language at home must pick a single language to list. Because the language spoken at home is self-reported, the Census Bureau tabulates languages in the way they are recorded. For example, some individuals write down a language category, rather than a specific language</w:t>
                      </w:r>
                      <w:r>
                        <w:t>:</w:t>
                      </w:r>
                      <w:r w:rsidRPr="008021A1">
                        <w:t xml:space="preserve"> a large portion of those who speak a Chinese language write down “Chinese” rather than “Mandarin,” “Cantonese,” or another specific Chinese language. Further, in order to protect confidentiality and simplify data tables and datasets, the Census Bureau combines some less-common languages into categories. For example, the language Tigrinya is combined with Amharic into the category “</w:t>
                      </w:r>
                      <w:r w:rsidRPr="00A74C52">
                        <w:t>Am</w:t>
                      </w:r>
                      <w:r>
                        <w:t>h</w:t>
                      </w:r>
                      <w:r w:rsidRPr="00A74C52">
                        <w:t>aric</w:t>
                      </w:r>
                      <w:r w:rsidRPr="008021A1">
                        <w:t xml:space="preserve">/Ethiopian.” </w:t>
                      </w:r>
                    </w:p>
                    <w:p w:rsidR="006D58CF" w:rsidRDefault="006D58CF" w:rsidP="00BC4EC1">
                      <w:pPr>
                        <w:pStyle w:val="Boxtext"/>
                      </w:pPr>
                      <w:r w:rsidRPr="008021A1">
                        <w:t>After writing down the language spoken at home, individuals who speak a language other than English at home are then asked “How well do you speak English</w:t>
                      </w:r>
                      <w:r>
                        <w:t>?</w:t>
                      </w:r>
                      <w:r w:rsidRPr="008021A1">
                        <w:t>” and are presented with the response categories “Very well</w:t>
                      </w:r>
                      <w:r>
                        <w:t>,</w:t>
                      </w:r>
                      <w:r w:rsidRPr="008021A1">
                        <w:t>” “Well</w:t>
                      </w:r>
                      <w:r>
                        <w:t>,</w:t>
                      </w:r>
                      <w:r w:rsidRPr="008021A1">
                        <w:t>” “Not well</w:t>
                      </w:r>
                      <w:r>
                        <w:t>,</w:t>
                      </w:r>
                      <w:r w:rsidRPr="008021A1">
                        <w:t>” and “Not at all.” Researchers generally define those who speak “Well” “Not well” or “Not at all” as limited English proficient (LEP).</w:t>
                      </w:r>
                      <w:r>
                        <w:t xml:space="preserve"> Those who speak English “Not at all” are sometimes classified as non–English proficient (NEP). </w:t>
                      </w:r>
                      <w:r w:rsidRPr="00A251A5">
                        <w:t xml:space="preserve">While reports of English ability are subjective, and different individuals may have different thresholds for determining that they speak English “very well,” these measures have been shown to correlate, overall, with English ability as measured through more specific questions and language tests (Siegel, Martin, and Bruno 2001). </w:t>
                      </w:r>
                    </w:p>
                    <w:p w:rsidR="006D58CF" w:rsidRDefault="006D58CF" w:rsidP="00BC4EC1">
                      <w:pPr>
                        <w:pStyle w:val="Boxtext"/>
                      </w:pPr>
                      <w:r w:rsidRPr="008021A1">
                        <w:t xml:space="preserve">While the ACS is the best source of secondary data for providing an overview of the </w:t>
                      </w:r>
                      <w:r>
                        <w:t>LEP/NEP</w:t>
                      </w:r>
                      <w:r w:rsidRPr="008021A1">
                        <w:t xml:space="preserve"> </w:t>
                      </w:r>
                      <w:r>
                        <w:rPr>
                          <w:szCs w:val="22"/>
                        </w:rPr>
                        <w:t>population</w:t>
                      </w:r>
                      <w:r w:rsidRPr="008021A1">
                        <w:t xml:space="preserve"> at the local level, the sample sizes are too small to permit a ranking of the top six or ten languages spoken in the </w:t>
                      </w:r>
                      <w:r>
                        <w:t>D</w:t>
                      </w:r>
                      <w:r w:rsidRPr="008021A1">
                        <w:t xml:space="preserve">istrict among </w:t>
                      </w:r>
                      <w:r>
                        <w:t>LEP/NEP individuals</w:t>
                      </w:r>
                      <w:r w:rsidRPr="008021A1">
                        <w:t xml:space="preserve"> with any great certainty.</w:t>
                      </w:r>
                      <w:r>
                        <w:t xml:space="preserve"> Beyond the top language spoken (Spanish), we cannot state with high confidence that language number two in the 2012 ACS is really more common among LEP/NEP individuals</w:t>
                      </w:r>
                      <w:r w:rsidRPr="008021A1">
                        <w:t xml:space="preserve"> in </w:t>
                      </w:r>
                      <w:r>
                        <w:t>the District</w:t>
                      </w:r>
                      <w:r w:rsidRPr="008021A1">
                        <w:t xml:space="preserve"> than language number</w:t>
                      </w:r>
                      <w:r>
                        <w:t xml:space="preserve"> three, </w:t>
                      </w:r>
                      <w:r w:rsidRPr="008021A1">
                        <w:t xml:space="preserve">or if the difference </w:t>
                      </w:r>
                      <w:r>
                        <w:t xml:space="preserve">stems from </w:t>
                      </w:r>
                      <w:r w:rsidRPr="008021A1">
                        <w:t>unavoidable random sampling error</w:t>
                      </w:r>
                      <w:r>
                        <w:t xml:space="preserve">. What we can say is that language number two is more common than language number four or five, for example, or that language number four in the greater DC area is more common than languages eight through ten. Despite this limitation, we include some rank orderings of languages below to give a suggestion of the top languages. </w:t>
                      </w:r>
                      <w:r w:rsidRPr="008021A1">
                        <w:t xml:space="preserve">Further, some newer or smaller immigrant communities may be too small to appear yet in the Census data, even though they may represent a sizable portion of the service population of a </w:t>
                      </w:r>
                      <w:r>
                        <w:t>particular</w:t>
                      </w:r>
                      <w:r w:rsidRPr="008021A1">
                        <w:t xml:space="preserve"> DC agency. </w:t>
                      </w:r>
                    </w:p>
                  </w:txbxContent>
                </v:textbox>
                <w10:wrap type="topAndBottom" anchorx="margin" anchory="margin"/>
              </v:shape>
            </w:pict>
          </mc:Fallback>
        </mc:AlternateContent>
      </w:r>
      <w:r w:rsidR="00BC4EC1">
        <w:rPr>
          <w:sz w:val="24"/>
        </w:rPr>
        <w:br w:type="page"/>
      </w:r>
    </w:p>
    <w:p w:rsidR="00BC4EC1" w:rsidRPr="005D7AD9" w:rsidRDefault="00BC4EC1" w:rsidP="00BC4EC1">
      <w:pPr>
        <w:pStyle w:val="Heading2"/>
      </w:pPr>
      <w:bookmarkStart w:id="13" w:name="_Toc384741715"/>
      <w:r w:rsidRPr="005D7AD9">
        <w:t>Analysis</w:t>
      </w:r>
      <w:bookmarkEnd w:id="13"/>
    </w:p>
    <w:p w:rsidR="00BC4EC1" w:rsidRPr="00C61F2C" w:rsidRDefault="00BC4EC1" w:rsidP="00BC4EC1">
      <w:pPr>
        <w:pStyle w:val="Heading3"/>
      </w:pPr>
      <w:r w:rsidRPr="00C61F2C">
        <w:t>English Ability</w:t>
      </w:r>
    </w:p>
    <w:p w:rsidR="00BC4EC1" w:rsidRDefault="00BC4EC1" w:rsidP="00BC4EC1">
      <w:pPr>
        <w:pStyle w:val="BodyText"/>
      </w:pPr>
      <w:r w:rsidRPr="008021A1">
        <w:t>The Language Access Act is intended to help those who speak languages other than English to have meaningful access to city services. A substantial share</w:t>
      </w:r>
      <w:r w:rsidR="00085941">
        <w:t xml:space="preserve"> (</w:t>
      </w:r>
      <w:r w:rsidRPr="008021A1">
        <w:t>15 percent</w:t>
      </w:r>
      <w:r w:rsidR="00085941">
        <w:t>)</w:t>
      </w:r>
      <w:r w:rsidRPr="008021A1">
        <w:t xml:space="preserve"> of residents in </w:t>
      </w:r>
      <w:r>
        <w:t>the District</w:t>
      </w:r>
      <w:r w:rsidRPr="008021A1">
        <w:t xml:space="preserve"> speak a language other than English at home</w:t>
      </w:r>
      <w:r>
        <w:t>;</w:t>
      </w:r>
      <w:r w:rsidRPr="008021A1">
        <w:t xml:space="preserve"> in the greater DC area, that share is almost twice as high </w:t>
      </w:r>
      <w:r>
        <w:t>(</w:t>
      </w:r>
      <w:r w:rsidRPr="008021A1">
        <w:t>29 percent</w:t>
      </w:r>
      <w:r>
        <w:t>)</w:t>
      </w:r>
      <w:r w:rsidRPr="008021A1">
        <w:t xml:space="preserve">. Most foreign language speakers in the </w:t>
      </w:r>
      <w:r>
        <w:t xml:space="preserve">greater </w:t>
      </w:r>
      <w:r w:rsidRPr="008021A1">
        <w:t xml:space="preserve">DC area are English proficient. In </w:t>
      </w:r>
      <w:r>
        <w:t>the District</w:t>
      </w:r>
      <w:r w:rsidRPr="008021A1">
        <w:t xml:space="preserve">, 32 percent of those who speak a language other than English at home </w:t>
      </w:r>
      <w:r>
        <w:t>are LEP/NEP</w:t>
      </w:r>
      <w:r w:rsidRPr="008021A1">
        <w:t xml:space="preserve"> and may require translation/interpretation services, while 68 percent are English proficient. In the greater DC area, 39 percent of those who speak a language other than English at home are </w:t>
      </w:r>
      <w:r>
        <w:t>LEP/NEP</w:t>
      </w:r>
      <w:r w:rsidRPr="008021A1">
        <w:t xml:space="preserve">. </w:t>
      </w:r>
    </w:p>
    <w:p w:rsidR="00BC4EC1" w:rsidRDefault="00BC4EC1" w:rsidP="00BC4EC1">
      <w:pPr>
        <w:pStyle w:val="BodyTextFirstIndent"/>
      </w:pPr>
      <w:r w:rsidRPr="008021A1">
        <w:t>Most of those who speak a language other than English at home are foreign</w:t>
      </w:r>
      <w:r>
        <w:rPr>
          <w:szCs w:val="22"/>
        </w:rPr>
        <w:t>-</w:t>
      </w:r>
      <w:r w:rsidRPr="008021A1">
        <w:t xml:space="preserve">born. In </w:t>
      </w:r>
      <w:r>
        <w:t>the District</w:t>
      </w:r>
      <w:r w:rsidRPr="008021A1">
        <w:t>, about two-thirds (65 percent) of those speaking a language other than English at home are foreign</w:t>
      </w:r>
      <w:r>
        <w:rPr>
          <w:szCs w:val="22"/>
        </w:rPr>
        <w:t xml:space="preserve"> </w:t>
      </w:r>
      <w:r w:rsidRPr="008021A1">
        <w:t>born, while in the greater DC area, about three-quarters (74 per</w:t>
      </w:r>
      <w:r>
        <w:t>cent) are foreign-born (figure 7)</w:t>
      </w:r>
      <w:r w:rsidRPr="008021A1">
        <w:t>.</w:t>
      </w:r>
    </w:p>
    <w:p w:rsidR="00BC4EC1" w:rsidRPr="009C7207" w:rsidRDefault="00130D4E" w:rsidP="00BC4EC1">
      <w:pPr>
        <w:pStyle w:val="FigureandTableTitle"/>
      </w:pPr>
      <w:r>
        <mc:AlternateContent>
          <mc:Choice Requires="wps">
            <w:drawing>
              <wp:anchor distT="0" distB="0" distL="114300" distR="114300" simplePos="0" relativeHeight="251644416" behindDoc="0" locked="0" layoutInCell="1" allowOverlap="1" wp14:anchorId="030D9728" wp14:editId="3B6C825E">
                <wp:simplePos x="0" y="0"/>
                <wp:positionH relativeFrom="column">
                  <wp:posOffset>333012</wp:posOffset>
                </wp:positionH>
                <wp:positionV relativeFrom="paragraph">
                  <wp:posOffset>551180</wp:posOffset>
                </wp:positionV>
                <wp:extent cx="2055495" cy="230505"/>
                <wp:effectExtent l="0" t="0" r="190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30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D58CF" w:rsidRPr="00E213A1" w:rsidRDefault="006D58CF" w:rsidP="00BC4EC1">
                            <w:pPr>
                              <w:jc w:val="center"/>
                              <w:rPr>
                                <w:rFonts w:ascii="Gill Sans MT" w:hAnsi="Gill Sans MT"/>
                                <w:b/>
                                <w:sz w:val="18"/>
                                <w:szCs w:val="28"/>
                              </w:rPr>
                            </w:pPr>
                            <w:r w:rsidRPr="00E213A1">
                              <w:rPr>
                                <w:rFonts w:ascii="Gill Sans MT" w:hAnsi="Gill Sans MT"/>
                                <w:b/>
                                <w:sz w:val="18"/>
                                <w:szCs w:val="28"/>
                              </w:rPr>
                              <w:t>The District of Columbia (N=83,568)</w:t>
                            </w:r>
                          </w:p>
                        </w:txbxContent>
                      </wps:txbx>
                      <wps:bodyPr rot="0" vert="horz" wrap="non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8" type="#_x0000_t202" style="position:absolute;margin-left:26.2pt;margin-top:43.4pt;width:161.85pt;height:18.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" stroked="f" strokeweight=".5pt">
                <v:textbox inset="0">
                  <w:txbxContent>
                    <w:p w:rsidR="006D58CF" w:rsidRPr="00E213A1" w:rsidRDefault="006D58CF" w:rsidP="00BC4EC1">
                      <w:pPr>
                        <w:jc w:val="center"/>
                        <w:rPr>
                          <w:rFonts w:ascii="Gill Sans MT" w:hAnsi="Gill Sans MT"/>
                          <w:b/>
                          <w:sz w:val="18"/>
                          <w:szCs w:val="28"/>
                        </w:rPr>
                      </w:pPr>
                      <w:r w:rsidRPr="00E213A1">
                        <w:rPr>
                          <w:rFonts w:ascii="Gill Sans MT" w:hAnsi="Gill Sans MT"/>
                          <w:b/>
                          <w:sz w:val="18"/>
                          <w:szCs w:val="28"/>
                        </w:rPr>
                        <w:t>The District of Columbia (N=83,568)</w:t>
                      </w:r>
                    </w:p>
                  </w:txbxContent>
                </v:textbox>
              </v:shape>
            </w:pict>
          </mc:Fallback>
        </mc:AlternateContent>
      </w:r>
      <w:r>
        <w:rPr>
          <w:b w:val="0"/>
        </w:rPr>
        <w:drawing>
          <wp:anchor distT="0" distB="0" distL="120396" distR="114300" simplePos="0" relativeHeight="251654656" behindDoc="0" locked="0" layoutInCell="1" allowOverlap="1" wp14:anchorId="4CD229C4" wp14:editId="359917F9">
            <wp:simplePos x="0" y="0"/>
            <wp:positionH relativeFrom="column">
              <wp:posOffset>-365379</wp:posOffset>
            </wp:positionH>
            <wp:positionV relativeFrom="paragraph">
              <wp:posOffset>731520</wp:posOffset>
            </wp:positionV>
            <wp:extent cx="3429000" cy="2331085"/>
            <wp:effectExtent l="0" t="0" r="0" b="0"/>
            <wp:wrapTopAndBottom/>
            <wp:docPr id="54"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BC4EC1" w:rsidRPr="009C7207">
        <w:t xml:space="preserve">Figure </w:t>
      </w:r>
      <w:r w:rsidR="00BC4EC1">
        <w:t>7</w:t>
      </w:r>
      <w:r w:rsidR="00BC4EC1" w:rsidRPr="009C7207">
        <w:t>. Place of Birth and English Proficiency of Those Speaking a Language Other Than English at Home in the District of Columbia and in the Greater DC Area</w:t>
      </w:r>
    </w:p>
    <w:p w:rsidR="00BC4EC1" w:rsidRDefault="005F05C3" w:rsidP="00BC4EC1">
      <w:r>
        <w:rPr>
          <w:b/>
          <w:sz w:val="20"/>
          <w:szCs w:val="20"/>
        </w:rPr>
        <w:drawing>
          <wp:anchor distT="0" distB="0" distL="120396" distR="114300" simplePos="0" relativeHeight="251655680" behindDoc="0" locked="0" layoutInCell="1" allowOverlap="1" wp14:anchorId="4D398825" wp14:editId="3328C15E">
            <wp:simplePos x="0" y="0"/>
            <wp:positionH relativeFrom="page">
              <wp:posOffset>4123962</wp:posOffset>
            </wp:positionH>
            <wp:positionV relativeFrom="page">
              <wp:posOffset>3986530</wp:posOffset>
            </wp:positionV>
            <wp:extent cx="3427730" cy="2286000"/>
            <wp:effectExtent l="0" t="0" r="1270" b="0"/>
            <wp:wrapNone/>
            <wp:docPr id="5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130D4E">
        <w:rPr>
          <w:noProof/>
        </w:rPr>
        <mc:AlternateContent>
          <mc:Choice Requires="wps">
            <w:drawing>
              <wp:anchor distT="0" distB="0" distL="114300" distR="114300" simplePos="0" relativeHeight="251645440" behindDoc="0" locked="0" layoutInCell="1" allowOverlap="1" wp14:anchorId="3D8F0964" wp14:editId="33681DCA">
                <wp:simplePos x="0" y="0"/>
                <wp:positionH relativeFrom="column">
                  <wp:posOffset>4045585</wp:posOffset>
                </wp:positionH>
                <wp:positionV relativeFrom="paragraph">
                  <wp:posOffset>-1905</wp:posOffset>
                </wp:positionV>
                <wp:extent cx="1995805" cy="245110"/>
                <wp:effectExtent l="0" t="0" r="3175" b="444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451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D58CF" w:rsidRPr="00E213A1" w:rsidRDefault="006D58CF">
                            <w:pPr>
                              <w:jc w:val="center"/>
                              <w:rPr>
                                <w:rFonts w:ascii="Gill Sans MT" w:hAnsi="Gill Sans MT"/>
                                <w:b/>
                                <w:sz w:val="18"/>
                                <w:szCs w:val="28"/>
                              </w:rPr>
                            </w:pPr>
                            <w:r w:rsidRPr="00E213A1">
                              <w:rPr>
                                <w:rFonts w:ascii="Gill Sans MT" w:hAnsi="Gill Sans MT"/>
                                <w:b/>
                                <w:sz w:val="18"/>
                                <w:szCs w:val="28"/>
                              </w:rPr>
                              <w:t>The greater DC area (N=782,825)</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9" type="#_x0000_t202" style="position:absolute;left:0;text-align:left;margin-left:318.55pt;margin-top:-.15pt;width:157.15pt;height:19.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" stroked="f" strokeweight=".5pt">
                <v:textbox>
                  <w:txbxContent>
                    <w:p w:rsidR="006D58CF" w:rsidRPr="00E213A1" w:rsidRDefault="006D58CF">
                      <w:pPr>
                        <w:jc w:val="center"/>
                        <w:rPr>
                          <w:rFonts w:ascii="Gill Sans MT" w:hAnsi="Gill Sans MT"/>
                          <w:b/>
                          <w:sz w:val="18"/>
                          <w:szCs w:val="28"/>
                        </w:rPr>
                      </w:pPr>
                      <w:r w:rsidRPr="00E213A1">
                        <w:rPr>
                          <w:rFonts w:ascii="Gill Sans MT" w:hAnsi="Gill Sans MT"/>
                          <w:b/>
                          <w:sz w:val="18"/>
                          <w:szCs w:val="28"/>
                        </w:rPr>
                        <w:t>The greater DC area (N=782,825)</w:t>
                      </w:r>
                    </w:p>
                  </w:txbxContent>
                </v:textbox>
              </v:shape>
            </w:pict>
          </mc:Fallback>
        </mc:AlternateContent>
      </w:r>
      <w:r w:rsidR="00BC4EC1" w:rsidRPr="006E4960">
        <w:rPr>
          <w:noProof/>
        </w:rPr>
        <w:t xml:space="preserve"> </w:t>
      </w:r>
    </w:p>
    <w:p w:rsidR="00BC4EC1" w:rsidRDefault="00BC4EC1" w:rsidP="00BC4EC1">
      <w:pPr>
        <w:contextualSpacing/>
      </w:pPr>
    </w:p>
    <w:p w:rsidR="00BC4EC1" w:rsidRDefault="00BC4EC1" w:rsidP="00BC4EC1">
      <w:pPr>
        <w:pStyle w:val="FigureandTableNotes"/>
        <w:rPr>
          <w:i/>
        </w:rPr>
      </w:pPr>
      <w:r w:rsidRPr="008021A1">
        <w:rPr>
          <w:i/>
        </w:rPr>
        <w:t>Source:</w:t>
      </w:r>
      <w:r w:rsidRPr="008021A1">
        <w:t xml:space="preserve"> 2012 </w:t>
      </w:r>
      <w:r>
        <w:t>three</w:t>
      </w:r>
      <w:r w:rsidRPr="008021A1">
        <w:t>-year public</w:t>
      </w:r>
      <w:r>
        <w:t>-</w:t>
      </w:r>
      <w:r w:rsidRPr="008021A1">
        <w:t xml:space="preserve">use microdata from the American Community Survey, accessed through </w:t>
      </w:r>
      <w:r>
        <w:t>the Integrated Public Use Microdata Sample (</w:t>
      </w:r>
      <w:r w:rsidRPr="008021A1">
        <w:t>IPUMS</w:t>
      </w:r>
      <w:r>
        <w:t xml:space="preserve">) </w:t>
      </w:r>
      <w:r w:rsidRPr="00774794">
        <w:t>(</w:t>
      </w:r>
      <w:proofErr w:type="spellStart"/>
      <w:r w:rsidRPr="00774794">
        <w:t>Ruggles</w:t>
      </w:r>
      <w:proofErr w:type="spellEnd"/>
      <w:r w:rsidRPr="00774794">
        <w:t xml:space="preserve"> et al. 2010).</w:t>
      </w:r>
    </w:p>
    <w:p w:rsidR="00BC4EC1" w:rsidRDefault="00BC4EC1" w:rsidP="00BC4EC1">
      <w:pPr>
        <w:pStyle w:val="BodyTextFirstIndent"/>
      </w:pPr>
      <w:r>
        <w:t>A</w:t>
      </w:r>
      <w:r w:rsidRPr="008021A1">
        <w:t>bout 26,400 people, or 5 percent</w:t>
      </w:r>
      <w:r w:rsidR="00085941">
        <w:t>,</w:t>
      </w:r>
      <w:r w:rsidRPr="008021A1">
        <w:t xml:space="preserve"> of DC residents age 5 and older</w:t>
      </w:r>
      <w:r>
        <w:t>,</w:t>
      </w:r>
      <w:r w:rsidRPr="008021A1">
        <w:t xml:space="preserve"> are </w:t>
      </w:r>
      <w:r>
        <w:t>LEP/NEP;</w:t>
      </w:r>
      <w:r w:rsidRPr="008021A1">
        <w:t xml:space="preserve"> in the greater DC area, 303,500 people</w:t>
      </w:r>
      <w:r>
        <w:t xml:space="preserve">, or </w:t>
      </w:r>
      <w:r w:rsidRPr="008021A1">
        <w:t>11 percent</w:t>
      </w:r>
      <w:r>
        <w:t>,</w:t>
      </w:r>
      <w:r w:rsidRPr="008021A1">
        <w:t xml:space="preserve"> are </w:t>
      </w:r>
      <w:r>
        <w:t>LEP/NEP</w:t>
      </w:r>
      <w:r w:rsidRPr="008021A1">
        <w:t xml:space="preserve">. Of those who are </w:t>
      </w:r>
      <w:r>
        <w:t>LEP/NEP</w:t>
      </w:r>
      <w:r w:rsidRPr="008021A1">
        <w:t xml:space="preserve"> in </w:t>
      </w:r>
      <w:r>
        <w:t>the District</w:t>
      </w:r>
      <w:r w:rsidRPr="008021A1">
        <w:t xml:space="preserve">, 85 percent are foreign-born and 15 percent are US-born. In the greater DC area, 92 percent of </w:t>
      </w:r>
      <w:r>
        <w:t>LEP/NEP individuals</w:t>
      </w:r>
      <w:r w:rsidRPr="008021A1">
        <w:t xml:space="preserve"> are foreign-born. </w:t>
      </w:r>
    </w:p>
    <w:p w:rsidR="00BC4EC1" w:rsidRPr="00C24AEA" w:rsidRDefault="00BC4EC1" w:rsidP="00BC4EC1">
      <w:pPr>
        <w:pStyle w:val="BodyTextFirstIndent"/>
      </w:pPr>
      <w:r w:rsidRPr="00C24AEA">
        <w:t xml:space="preserve">LEP/NEP individuals are particularly concentrated in certain neighborhoods of </w:t>
      </w:r>
      <w:r>
        <w:t>the District</w:t>
      </w:r>
      <w:r w:rsidRPr="00C24AEA">
        <w:t>. The areas between 16</w:t>
      </w:r>
      <w:r w:rsidRPr="00085941">
        <w:t>th</w:t>
      </w:r>
      <w:r w:rsidRPr="00C24AEA">
        <w:t xml:space="preserve"> Street and Georgia Avenue in Wards 1 and 4 have particularly high concentrations of LEP individuals, as do some </w:t>
      </w:r>
      <w:r>
        <w:t>area</w:t>
      </w:r>
      <w:r w:rsidRPr="00C24AEA">
        <w:t xml:space="preserve">s </w:t>
      </w:r>
      <w:r>
        <w:t xml:space="preserve">of </w:t>
      </w:r>
      <w:proofErr w:type="spellStart"/>
      <w:r>
        <w:t>Petworth</w:t>
      </w:r>
      <w:proofErr w:type="spellEnd"/>
      <w:r>
        <w:t>. In contrast, most areas of southeast DC have low shares of LEP/NEP residents.</w:t>
      </w:r>
    </w:p>
    <w:p w:rsidR="00BC4EC1" w:rsidRDefault="00BC4EC1" w:rsidP="00BC4EC1">
      <w:pPr>
        <w:pStyle w:val="BodyText"/>
        <w:rPr>
          <w:b/>
          <w:i/>
        </w:rPr>
      </w:pPr>
      <w:r w:rsidRPr="00A05270">
        <w:rPr>
          <w:rStyle w:val="SubtitleChar"/>
          <w:i/>
          <w:u w:val="none"/>
        </w:rPr>
        <w:t>Top languages spoken.</w:t>
      </w:r>
      <w:r w:rsidRPr="008021A1">
        <w:t xml:space="preserve"> </w:t>
      </w:r>
      <w:r>
        <w:t>The District</w:t>
      </w:r>
      <w:r w:rsidRPr="008021A1">
        <w:t xml:space="preserve"> and the greater DC area are home to substantial language diversity. The top language spoken in </w:t>
      </w:r>
      <w:r>
        <w:t>the District</w:t>
      </w:r>
      <w:r w:rsidRPr="008021A1">
        <w:t>, other than English,</w:t>
      </w:r>
      <w:r>
        <w:t xml:space="preserve"> is Spanish. After Spanish, the top languages are </w:t>
      </w:r>
      <w:r w:rsidRPr="008021A1">
        <w:t>French, Amharic/Ethiopian, German, and Chinese.</w:t>
      </w:r>
      <w:r w:rsidRPr="008021A1">
        <w:rPr>
          <w:rStyle w:val="EndnoteReference"/>
          <w:rFonts w:ascii="Calibri" w:hAnsi="Calibri"/>
          <w:sz w:val="24"/>
        </w:rPr>
        <w:endnoteReference w:id="11"/>
      </w:r>
      <w:r w:rsidRPr="008021A1">
        <w:t xml:space="preserve"> In the greater DC area, the top foreign languages spoken are Spanish, French, Chinese, Amharic/Ethiopian, and Korean. </w:t>
      </w:r>
    </w:p>
    <w:p w:rsidR="00BC4EC1" w:rsidRDefault="00085941" w:rsidP="00BC4EC1">
      <w:pPr>
        <w:pStyle w:val="BodyTextFirstIndent"/>
      </w:pPr>
      <w:r>
        <w:t>S</w:t>
      </w:r>
      <w:r w:rsidR="00BC4EC1" w:rsidRPr="008021A1">
        <w:t xml:space="preserve">peakers of these different languages in </w:t>
      </w:r>
      <w:r w:rsidR="00BC4EC1">
        <w:t>the District</w:t>
      </w:r>
      <w:r w:rsidR="00BC4EC1" w:rsidRPr="008021A1">
        <w:t xml:space="preserve"> have different levels of English proficiency and</w:t>
      </w:r>
      <w:r w:rsidR="00BC4EC1">
        <w:t>,</w:t>
      </w:r>
      <w:r w:rsidR="00BC4EC1" w:rsidRPr="008021A1">
        <w:t xml:space="preserve"> thus</w:t>
      </w:r>
      <w:r w:rsidR="00BC4EC1">
        <w:t>,</w:t>
      </w:r>
      <w:r w:rsidR="00BC4EC1" w:rsidRPr="008021A1">
        <w:t xml:space="preserve"> different </w:t>
      </w:r>
      <w:r w:rsidR="00BC4EC1" w:rsidRPr="005D7AD9">
        <w:t xml:space="preserve">needs </w:t>
      </w:r>
      <w:r w:rsidR="00BC4EC1" w:rsidRPr="008021A1">
        <w:t xml:space="preserve">for interpretation. </w:t>
      </w:r>
      <w:r w:rsidR="00BC4EC1">
        <w:t>LEP/NEP</w:t>
      </w:r>
      <w:r w:rsidR="00BC4EC1" w:rsidRPr="008021A1">
        <w:t xml:space="preserve"> rates range from </w:t>
      </w:r>
      <w:r w:rsidR="00BC4EC1">
        <w:rPr>
          <w:szCs w:val="22"/>
        </w:rPr>
        <w:t>50</w:t>
      </w:r>
      <w:r w:rsidR="00BC4EC1" w:rsidRPr="003655C8">
        <w:rPr>
          <w:szCs w:val="22"/>
        </w:rPr>
        <w:t xml:space="preserve"> </w:t>
      </w:r>
      <w:r w:rsidR="00BC4EC1" w:rsidRPr="008021A1">
        <w:t xml:space="preserve">percent among Amharic/Ethiopian speakers to </w:t>
      </w:r>
      <w:r w:rsidR="00BC4EC1">
        <w:rPr>
          <w:szCs w:val="22"/>
        </w:rPr>
        <w:t>15</w:t>
      </w:r>
      <w:r w:rsidR="00BC4EC1" w:rsidRPr="008021A1">
        <w:t xml:space="preserve"> percent among German speakers</w:t>
      </w:r>
      <w:r w:rsidR="00BC4EC1">
        <w:t xml:space="preserve"> (figure 8)</w:t>
      </w:r>
      <w:r w:rsidR="00BC4EC1" w:rsidRPr="008021A1">
        <w:t xml:space="preserve">. As a result, the top languages spoken among </w:t>
      </w:r>
      <w:r w:rsidR="00BC4EC1">
        <w:t>LEP/NEP individuals</w:t>
      </w:r>
      <w:r w:rsidR="00BC4EC1" w:rsidRPr="008021A1">
        <w:t xml:space="preserve"> in the </w:t>
      </w:r>
      <w:r w:rsidR="00BC4EC1">
        <w:t xml:space="preserve">greater </w:t>
      </w:r>
      <w:r w:rsidR="00BC4EC1" w:rsidRPr="008021A1">
        <w:t xml:space="preserve">DC area form a slightly different list. </w:t>
      </w:r>
    </w:p>
    <w:p w:rsidR="00BC4EC1" w:rsidRPr="008021A1" w:rsidRDefault="00BC4EC1" w:rsidP="00BC4EC1">
      <w:pPr>
        <w:pStyle w:val="FigureandTableTitle"/>
      </w:pPr>
      <w:r w:rsidRPr="009F06D6">
        <w:t xml:space="preserve">Figure </w:t>
      </w:r>
      <w:r>
        <w:fldChar w:fldCharType="begin"/>
      </w:r>
      <w:r>
        <w:instrText xml:space="preserve"> SEQ Figure \* ARABIC </w:instrText>
      </w:r>
      <w:r>
        <w:fldChar w:fldCharType="separate"/>
      </w:r>
      <w:r w:rsidR="004C37C5">
        <w:t>6</w:t>
      </w:r>
      <w:r>
        <w:fldChar w:fldCharType="end"/>
      </w:r>
      <w:r>
        <w:t xml:space="preserve">. English Proficiency by </w:t>
      </w:r>
      <w:r w:rsidRPr="00C61F2C">
        <w:t>Language</w:t>
      </w:r>
      <w:r>
        <w:t xml:space="preserve"> Spoken at Home in the District of Columbia</w:t>
      </w:r>
    </w:p>
    <w:p w:rsidR="00BC4EC1" w:rsidRPr="008021A1" w:rsidRDefault="00130D4E" w:rsidP="00BC4EC1">
      <w:r>
        <w:rPr>
          <w:noProof/>
          <w:sz w:val="20"/>
          <w:szCs w:val="20"/>
        </w:rPr>
        <w:drawing>
          <wp:anchor distT="0" distB="0" distL="120396" distR="114300" simplePos="0" relativeHeight="251656704" behindDoc="0" locked="0" layoutInCell="1" allowOverlap="0" wp14:anchorId="3C4BADC4" wp14:editId="3E561ACF">
            <wp:simplePos x="0" y="0"/>
            <wp:positionH relativeFrom="column">
              <wp:align>left</wp:align>
            </wp:positionH>
            <wp:positionV relativeFrom="paragraph">
              <wp:posOffset>91440</wp:posOffset>
            </wp:positionV>
            <wp:extent cx="6400800" cy="3657600"/>
            <wp:effectExtent l="0" t="0" r="0" b="0"/>
            <wp:wrapTopAndBottom/>
            <wp:docPr id="5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BC4EC1" w:rsidRDefault="00BC4EC1" w:rsidP="00BC4EC1">
      <w:pPr>
        <w:pStyle w:val="FigureandTableNotes"/>
        <w:rPr>
          <w:i/>
        </w:rPr>
      </w:pPr>
      <w:r w:rsidRPr="008021A1">
        <w:rPr>
          <w:i/>
        </w:rPr>
        <w:t>Source</w:t>
      </w:r>
      <w:r w:rsidRPr="008021A1">
        <w:t xml:space="preserve">: 2012 </w:t>
      </w:r>
      <w:r>
        <w:t>three</w:t>
      </w:r>
      <w:r w:rsidRPr="008021A1">
        <w:t>-year public</w:t>
      </w:r>
      <w:r>
        <w:t>-</w:t>
      </w:r>
      <w:r w:rsidRPr="008021A1">
        <w:t>use microdata from the American Community Survey, accessed through IPUMS</w:t>
      </w:r>
      <w:r>
        <w:t xml:space="preserve"> </w:t>
      </w:r>
      <w:r w:rsidRPr="00774794">
        <w:t>(</w:t>
      </w:r>
      <w:proofErr w:type="spellStart"/>
      <w:r w:rsidRPr="00774794">
        <w:t>Ruggles</w:t>
      </w:r>
      <w:proofErr w:type="spellEnd"/>
      <w:r w:rsidRPr="00774794">
        <w:t xml:space="preserve"> et al. 2010).</w:t>
      </w:r>
    </w:p>
    <w:p w:rsidR="00BC4EC1" w:rsidRDefault="00BC4EC1" w:rsidP="00BC4EC1">
      <w:pPr>
        <w:pStyle w:val="BodyTextFirstIndent"/>
      </w:pPr>
      <w:r w:rsidRPr="008021A1">
        <w:t xml:space="preserve">The </w:t>
      </w:r>
      <w:r>
        <w:t xml:space="preserve">most </w:t>
      </w:r>
      <w:r w:rsidRPr="008021A1">
        <w:t xml:space="preserve">common language among </w:t>
      </w:r>
      <w:r>
        <w:t>LEP/NEP individuals</w:t>
      </w:r>
      <w:r w:rsidRPr="008021A1">
        <w:t xml:space="preserve"> in </w:t>
      </w:r>
      <w:r>
        <w:t>the District</w:t>
      </w:r>
      <w:r w:rsidRPr="008021A1">
        <w:t xml:space="preserve"> </w:t>
      </w:r>
      <w:r>
        <w:t>is Spanish, spoken by a majority (60 percent) of LEP/NEP individuals. After Spanish, the top languages are</w:t>
      </w:r>
      <w:r w:rsidRPr="008021A1">
        <w:t xml:space="preserve"> Amharic/Ethiopian, French</w:t>
      </w:r>
      <w:r>
        <w:t>,</w:t>
      </w:r>
      <w:r w:rsidRPr="00A05270">
        <w:rPr>
          <w:rStyle w:val="EndnoteReference"/>
          <w:b/>
        </w:rPr>
        <w:endnoteReference w:id="12"/>
      </w:r>
      <w:r w:rsidRPr="008021A1">
        <w:t xml:space="preserve"> and Chinese</w:t>
      </w:r>
      <w:r>
        <w:t xml:space="preserve">. </w:t>
      </w:r>
      <w:r w:rsidRPr="008021A1">
        <w:t>The sample sizes available are insufficient</w:t>
      </w:r>
      <w:r>
        <w:t xml:space="preserve"> to precisely order the top ten languages among </w:t>
      </w:r>
      <w:r w:rsidRPr="008021A1">
        <w:t>LEP</w:t>
      </w:r>
      <w:r>
        <w:t>/NEP individual</w:t>
      </w:r>
      <w:r w:rsidRPr="008021A1">
        <w:t xml:space="preserve">s in </w:t>
      </w:r>
      <w:r>
        <w:t>the District</w:t>
      </w:r>
      <w:r w:rsidRPr="008021A1">
        <w:t>, but other top languages include (in alphabetical order) Filipino/</w:t>
      </w:r>
      <w:r w:rsidRPr="003655C8">
        <w:rPr>
          <w:szCs w:val="22"/>
        </w:rPr>
        <w:t>Tag</w:t>
      </w:r>
      <w:r>
        <w:rPr>
          <w:szCs w:val="22"/>
        </w:rPr>
        <w:t>a</w:t>
      </w:r>
      <w:r w:rsidRPr="003655C8">
        <w:rPr>
          <w:szCs w:val="22"/>
        </w:rPr>
        <w:t>log</w:t>
      </w:r>
      <w:r w:rsidRPr="008021A1">
        <w:t xml:space="preserve">, German, </w:t>
      </w:r>
      <w:proofErr w:type="spellStart"/>
      <w:r w:rsidRPr="008021A1">
        <w:t>Kru</w:t>
      </w:r>
      <w:proofErr w:type="spellEnd"/>
      <w:r>
        <w:t>,</w:t>
      </w:r>
      <w:r w:rsidRPr="00A05270">
        <w:rPr>
          <w:rStyle w:val="EndnoteReference"/>
        </w:rPr>
        <w:endnoteReference w:id="13"/>
      </w:r>
      <w:r w:rsidRPr="008021A1">
        <w:t xml:space="preserve"> Italian, Portuguese, and Vietnamese</w:t>
      </w:r>
      <w:r>
        <w:t>. T</w:t>
      </w:r>
      <w:r w:rsidRPr="008021A1">
        <w:t xml:space="preserve">he top four languages account for 79 percent of all </w:t>
      </w:r>
      <w:r>
        <w:t>LEP/NEP individuals</w:t>
      </w:r>
      <w:r w:rsidRPr="008021A1">
        <w:t xml:space="preserve"> in </w:t>
      </w:r>
      <w:r>
        <w:t>the District (figure 9)</w:t>
      </w:r>
      <w:r w:rsidRPr="008021A1">
        <w:t xml:space="preserve">. </w:t>
      </w:r>
    </w:p>
    <w:p w:rsidR="00BC4EC1" w:rsidRDefault="00BC4EC1">
      <w:pPr>
        <w:spacing w:after="200" w:line="276" w:lineRule="auto"/>
        <w:jc w:val="left"/>
        <w:rPr>
          <w:rFonts w:ascii="Gill Sans MT" w:eastAsia="MS Mincho" w:hAnsi="Gill Sans MT"/>
          <w:b/>
          <w:noProof/>
        </w:rPr>
      </w:pPr>
      <w:r>
        <w:br w:type="page"/>
      </w:r>
    </w:p>
    <w:p w:rsidR="00BC4EC1" w:rsidRDefault="00BC4EC1" w:rsidP="00BC4EC1">
      <w:pPr>
        <w:pStyle w:val="FigureandTableTitle"/>
      </w:pPr>
      <w:r w:rsidRPr="008021A1">
        <w:t xml:space="preserve">Figure </w:t>
      </w:r>
      <w:r>
        <w:fldChar w:fldCharType="begin"/>
      </w:r>
      <w:r>
        <w:instrText xml:space="preserve"> SEQ Figure \* ARABIC </w:instrText>
      </w:r>
      <w:r>
        <w:fldChar w:fldCharType="separate"/>
      </w:r>
      <w:r w:rsidR="004C37C5">
        <w:t>7</w:t>
      </w:r>
      <w:r>
        <w:fldChar w:fldCharType="end"/>
      </w:r>
      <w:r>
        <w:t xml:space="preserve">. Language Spoken among LEP/NEP Population in the District of Columbia </w:t>
      </w:r>
    </w:p>
    <w:p w:rsidR="00BC4EC1" w:rsidRPr="008021A1" w:rsidRDefault="00130D4E" w:rsidP="00BC4EC1">
      <w:pPr>
        <w:contextualSpacing/>
      </w:pPr>
      <w:r>
        <w:rPr>
          <w:noProof/>
        </w:rPr>
        <w:drawing>
          <wp:anchor distT="0" distB="0" distL="120396" distR="114300" simplePos="0" relativeHeight="251657728" behindDoc="0" locked="0" layoutInCell="1" allowOverlap="0" wp14:anchorId="084F528A" wp14:editId="661E3BB7">
            <wp:simplePos x="0" y="0"/>
            <wp:positionH relativeFrom="column">
              <wp:posOffset>-254</wp:posOffset>
            </wp:positionH>
            <wp:positionV relativeFrom="paragraph">
              <wp:posOffset>91440</wp:posOffset>
            </wp:positionV>
            <wp:extent cx="5486400" cy="3730625"/>
            <wp:effectExtent l="0" t="0" r="0" b="3175"/>
            <wp:wrapTopAndBottom/>
            <wp:docPr id="52"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BC4EC1" w:rsidRDefault="00BC4EC1" w:rsidP="00BC4EC1">
      <w:pPr>
        <w:pStyle w:val="FigureandTableNotes"/>
        <w:rPr>
          <w:i/>
        </w:rPr>
      </w:pPr>
      <w:r w:rsidRPr="008021A1">
        <w:rPr>
          <w:i/>
        </w:rPr>
        <w:t xml:space="preserve">Source: </w:t>
      </w:r>
      <w:r w:rsidRPr="008021A1">
        <w:t xml:space="preserve">2012 </w:t>
      </w:r>
      <w:r>
        <w:t>three</w:t>
      </w:r>
      <w:r w:rsidRPr="008021A1">
        <w:t>-year public</w:t>
      </w:r>
      <w:r>
        <w:t>-</w:t>
      </w:r>
      <w:r w:rsidRPr="008021A1">
        <w:t>use microdata from the American Community Survey, accessed through IPUMS</w:t>
      </w:r>
      <w:r>
        <w:t xml:space="preserve"> </w:t>
      </w:r>
      <w:r w:rsidRPr="00774794">
        <w:t>(</w:t>
      </w:r>
      <w:proofErr w:type="spellStart"/>
      <w:r w:rsidRPr="00774794">
        <w:t>Ruggles</w:t>
      </w:r>
      <w:proofErr w:type="spellEnd"/>
      <w:r w:rsidRPr="00774794">
        <w:t xml:space="preserve"> et al. 2010).</w:t>
      </w:r>
    </w:p>
    <w:p w:rsidR="00BC4EC1" w:rsidRDefault="00BC4EC1" w:rsidP="00BC4EC1">
      <w:pPr>
        <w:pStyle w:val="BodyTextFirstIndent"/>
        <w:rPr>
          <w:sz w:val="24"/>
        </w:rPr>
      </w:pPr>
      <w:r w:rsidRPr="00C24AEA">
        <w:t xml:space="preserve">In the greater DC area, the top ten languages spoken among LEP/NEP </w:t>
      </w:r>
      <w:r>
        <w:t>residents</w:t>
      </w:r>
      <w:r w:rsidRPr="00C24AEA">
        <w:t xml:space="preserve"> are</w:t>
      </w:r>
      <w:r>
        <w:t xml:space="preserve"> </w:t>
      </w:r>
      <w:r w:rsidRPr="00C24AEA">
        <w:t>Spanish, Chinese, Korean,</w:t>
      </w:r>
      <w:r>
        <w:t xml:space="preserve"> </w:t>
      </w:r>
      <w:r w:rsidRPr="00C24AEA">
        <w:t>Vietnamese,</w:t>
      </w:r>
      <w:r>
        <w:t xml:space="preserve"> </w:t>
      </w:r>
      <w:r w:rsidRPr="00C24AEA">
        <w:t>Amharic/Ethiopian,</w:t>
      </w:r>
      <w:r>
        <w:t xml:space="preserve"> </w:t>
      </w:r>
      <w:r w:rsidRPr="00C24AEA">
        <w:t>French,</w:t>
      </w:r>
      <w:r>
        <w:t xml:space="preserve"> </w:t>
      </w:r>
      <w:r w:rsidRPr="00C24AEA">
        <w:t>Filipino/Tagalog,</w:t>
      </w:r>
      <w:r>
        <w:t xml:space="preserve"> </w:t>
      </w:r>
      <w:r w:rsidRPr="00C24AEA">
        <w:t>Arabic,</w:t>
      </w:r>
      <w:r>
        <w:t xml:space="preserve"> </w:t>
      </w:r>
      <w:proofErr w:type="spellStart"/>
      <w:r w:rsidRPr="00C24AEA">
        <w:t>Kru</w:t>
      </w:r>
      <w:proofErr w:type="spellEnd"/>
      <w:r w:rsidRPr="00C24AEA">
        <w:t>,</w:t>
      </w:r>
      <w:r>
        <w:t xml:space="preserve"> </w:t>
      </w:r>
      <w:r w:rsidRPr="00C24AEA">
        <w:t>and</w:t>
      </w:r>
      <w:r>
        <w:t xml:space="preserve"> </w:t>
      </w:r>
      <w:r w:rsidRPr="00C24AEA">
        <w:t xml:space="preserve">Persian/Iranian/Farsi. </w:t>
      </w:r>
      <w:r>
        <w:t xml:space="preserve">Apart from Spanish speakers, </w:t>
      </w:r>
      <w:r w:rsidRPr="00C30769">
        <w:t>however</w:t>
      </w:r>
      <w:r>
        <w:t>,</w:t>
      </w:r>
      <w:r w:rsidRPr="00C30769">
        <w:t xml:space="preserve"> the number of speakers of each language is not statistically significantly from the number of speakers of the language right below it in this ordering. Therefore, this list should be taken as suggestive, rather than a definitive ranking of the top languages in the greater DC area. Looking at the top languages among</w:t>
      </w:r>
      <w:r w:rsidRPr="00C24AEA">
        <w:rPr>
          <w:sz w:val="24"/>
        </w:rPr>
        <w:t xml:space="preserve"> </w:t>
      </w:r>
      <w:r w:rsidRPr="00C30769">
        <w:t>LEP/NEP individuals in the greater DC area from 2005</w:t>
      </w:r>
      <w:r>
        <w:t xml:space="preserve"> to </w:t>
      </w:r>
      <w:r w:rsidRPr="00C30769">
        <w:t>2012 does not show any notable trends in the language composition of the LEP/NEP population over this seven-year period.</w:t>
      </w:r>
      <w:r w:rsidRPr="00C24AEA">
        <w:rPr>
          <w:sz w:val="24"/>
        </w:rPr>
        <w:t xml:space="preserve"> </w:t>
      </w:r>
    </w:p>
    <w:p w:rsidR="00BC4EC1" w:rsidRPr="00C61F2C" w:rsidRDefault="00BC4EC1" w:rsidP="00BC4EC1">
      <w:pPr>
        <w:pStyle w:val="Heading3"/>
      </w:pPr>
      <w:r w:rsidRPr="00C61F2C">
        <w:t xml:space="preserve">Demographic Portrait of LEP/NEPs </w:t>
      </w:r>
    </w:p>
    <w:p w:rsidR="00BC4EC1" w:rsidRDefault="00BC4EC1" w:rsidP="00BC4EC1">
      <w:pPr>
        <w:pStyle w:val="BodyText"/>
        <w:rPr>
          <w:i/>
        </w:rPr>
      </w:pPr>
      <w:r w:rsidRPr="00C24AEA">
        <w:t xml:space="preserve">Below, we outline the demographic characteristics of LEP/NEP individuals and families in </w:t>
      </w:r>
      <w:r>
        <w:t>the District</w:t>
      </w:r>
      <w:r w:rsidRPr="00C24AEA">
        <w:t xml:space="preserve"> and the greater DC area, focusing on their country of birth, age, citizenship status, and household characteristics. We present these characteristics to give a better understanding of the diversity of individuals who make up the LEP/NEP population in the area, and to highlight portions of the LEP/NEP population </w:t>
      </w:r>
      <w:r>
        <w:t xml:space="preserve">that </w:t>
      </w:r>
      <w:r w:rsidRPr="00C24AEA">
        <w:t xml:space="preserve">are particularly likely to interact with certain </w:t>
      </w:r>
      <w:r>
        <w:t>DC government offices. Figures 12 and 13</w:t>
      </w:r>
      <w:r w:rsidRPr="00C24AEA">
        <w:t xml:space="preserve"> </w:t>
      </w:r>
      <w:r>
        <w:t xml:space="preserve">on </w:t>
      </w:r>
      <w:r w:rsidRPr="00114C29">
        <w:t xml:space="preserve">pages </w:t>
      </w:r>
      <w:r>
        <w:t>24</w:t>
      </w:r>
      <w:r w:rsidRPr="00114C29">
        <w:t xml:space="preserve"> and </w:t>
      </w:r>
      <w:r>
        <w:t xml:space="preserve">25 </w:t>
      </w:r>
      <w:r w:rsidRPr="00C24AEA">
        <w:t xml:space="preserve">summarize the characteristics of LEP/NEP individuals in </w:t>
      </w:r>
      <w:r>
        <w:t>the District</w:t>
      </w:r>
      <w:r w:rsidRPr="00C24AEA">
        <w:t>.</w:t>
      </w:r>
    </w:p>
    <w:p w:rsidR="00BC4EC1" w:rsidRPr="00E213A1" w:rsidRDefault="00BC4EC1" w:rsidP="00BC4EC1">
      <w:pPr>
        <w:pStyle w:val="BodyTextFirstIndent"/>
      </w:pPr>
      <w:r w:rsidRPr="00E213A1">
        <w:rPr>
          <w:rStyle w:val="SubtitleChar"/>
          <w:rFonts w:eastAsia="MS Mincho"/>
          <w:i/>
          <w:iCs w:val="0"/>
          <w:u w:val="none"/>
        </w:rPr>
        <w:t>Countries of birth</w:t>
      </w:r>
      <w:r w:rsidRPr="00E213A1">
        <w:rPr>
          <w:rStyle w:val="SubtleEmphasis1"/>
          <w:rFonts w:ascii="Georgia" w:hAnsi="Georgia"/>
          <w:i w:val="0"/>
          <w:iCs w:val="0"/>
        </w:rPr>
        <w:t>.</w:t>
      </w:r>
      <w:r w:rsidRPr="00E213A1">
        <w:t xml:space="preserve"> The top country of origin among LEP/NEP individuals in the District is El Salvador, accounting for over one-quarter of the LEP population. The second</w:t>
      </w:r>
      <w:r>
        <w:t>-</w:t>
      </w:r>
      <w:r w:rsidRPr="00E213A1">
        <w:t>largest country of birth of LEP/NEP individuals in the District is the United States,</w:t>
      </w:r>
      <w:r w:rsidRPr="00057EE6">
        <w:rPr>
          <w:rStyle w:val="EndnoteReference"/>
        </w:rPr>
        <w:endnoteReference w:id="14"/>
      </w:r>
      <w:r w:rsidRPr="00E213A1">
        <w:t xml:space="preserve"> followed by Ethiopia. The other top countries of birth of LEP/NEP individuals are, in alphabetical order, Brazil, China, the Dominican Republic, Guatemala, Honduras, Mexico, and Vietnam. Figure 10 shows the national-origin breakdown of the LEP/NEP population in the District.</w:t>
      </w:r>
    </w:p>
    <w:p w:rsidR="00BC4EC1" w:rsidRDefault="00BC4EC1" w:rsidP="00BC4EC1">
      <w:pPr>
        <w:pStyle w:val="FigureandTableTitle"/>
      </w:pPr>
      <w:r>
        <w:t xml:space="preserve">Figure </w:t>
      </w:r>
      <w:r>
        <w:fldChar w:fldCharType="begin"/>
      </w:r>
      <w:r>
        <w:instrText xml:space="preserve"> SEQ Figure \* ARABIC </w:instrText>
      </w:r>
      <w:r>
        <w:fldChar w:fldCharType="separate"/>
      </w:r>
      <w:r w:rsidR="004C37C5">
        <w:t>8</w:t>
      </w:r>
      <w:r>
        <w:fldChar w:fldCharType="end"/>
      </w:r>
      <w:r>
        <w:t xml:space="preserve">. Countries of Birth of the LEP/NEP Population in the District of Columbia </w:t>
      </w:r>
    </w:p>
    <w:p w:rsidR="00BC4EC1" w:rsidRPr="00A74C52" w:rsidRDefault="00130D4E" w:rsidP="00BC4EC1">
      <w:pPr>
        <w:contextualSpacing/>
      </w:pPr>
      <w:r>
        <w:rPr>
          <w:noProof/>
        </w:rPr>
        <mc:AlternateContent>
          <mc:Choice Requires="wps">
            <w:drawing>
              <wp:anchor distT="0" distB="0" distL="114300" distR="114300" simplePos="0" relativeHeight="251673088" behindDoc="0" locked="0" layoutInCell="1" allowOverlap="1" wp14:anchorId="30E5D58A" wp14:editId="7C3DE4D9">
                <wp:simplePos x="0" y="0"/>
                <wp:positionH relativeFrom="column">
                  <wp:posOffset>2304415</wp:posOffset>
                </wp:positionH>
                <wp:positionV relativeFrom="paragraph">
                  <wp:posOffset>265430</wp:posOffset>
                </wp:positionV>
                <wp:extent cx="871220" cy="147320"/>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220" cy="147320"/>
                        </a:xfrm>
                        <a:prstGeom prst="rect">
                          <a:avLst/>
                        </a:prstGeom>
                      </wps:spPr>
                      <wps:txbx>
                        <w:txbxContent>
                          <w:p w:rsidR="006D58CF" w:rsidRPr="00A05270" w:rsidRDefault="006D58CF" w:rsidP="00BC4EC1">
                            <w:pPr>
                              <w:pStyle w:val="NormalWeb"/>
                              <w:spacing w:before="0" w:beforeAutospacing="0" w:after="0" w:afterAutospacing="0"/>
                              <w:jc w:val="center"/>
                              <w:rPr>
                                <w:i/>
                                <w:sz w:val="20"/>
                              </w:rPr>
                            </w:pPr>
                            <w:r w:rsidRPr="00A05270">
                              <w:rPr>
                                <w:rFonts w:ascii="Gill Sans MT" w:hAnsi="Gill Sans MT" w:cs="Gill Sans MT"/>
                                <w:i/>
                                <w:sz w:val="20"/>
                              </w:rPr>
                              <w:t xml:space="preserve">N=26,373 </w:t>
                            </w:r>
                          </w:p>
                        </w:txbxContent>
                      </wps:txbx>
                      <wps:bodyPr vertOverflow="clip" wrap="square" lIns="0" tIns="0" rIns="0" bIns="0" rtlCol="0" anchor="ctr" anchorCtr="0">
                        <a:sp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left:0;text-align:left;margin-left:181.45pt;margin-top:20.9pt;width:68.6pt;height:1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" filled="f" stroked="f">
                <v:path arrowok="t"/>
                <v:textbox style="mso-fit-shape-to-text:t" inset="0,0,0,0">
                  <w:txbxContent>
                    <w:p w:rsidR="006D58CF" w:rsidRPr="00A05270" w:rsidRDefault="006D58CF" w:rsidP="00BC4EC1">
                      <w:pPr>
                        <w:pStyle w:val="NormalWeb"/>
                        <w:spacing w:before="0" w:beforeAutospacing="0" w:after="0" w:afterAutospacing="0"/>
                        <w:jc w:val="center"/>
                        <w:rPr>
                          <w:i/>
                          <w:sz w:val="20"/>
                        </w:rPr>
                      </w:pPr>
                      <w:r w:rsidRPr="00A05270">
                        <w:rPr>
                          <w:rFonts w:ascii="Gill Sans MT" w:hAnsi="Gill Sans MT" w:cs="Gill Sans MT"/>
                          <w:i/>
                          <w:sz w:val="20"/>
                        </w:rPr>
                        <w:t xml:space="preserve">N=26,373 </w:t>
                      </w:r>
                    </w:p>
                  </w:txbxContent>
                </v:textbox>
                <w10:wrap type="square"/>
              </v:shape>
            </w:pict>
          </mc:Fallback>
        </mc:AlternateContent>
      </w:r>
    </w:p>
    <w:p w:rsidR="00BC4EC1" w:rsidRDefault="00130D4E" w:rsidP="00BC4EC1">
      <w:pPr>
        <w:pStyle w:val="FigureandTableNotes"/>
        <w:rPr>
          <w:i/>
        </w:rPr>
      </w:pPr>
      <w:r>
        <w:rPr>
          <w:bCs w:val="0"/>
          <w:noProof/>
        </w:rPr>
        <w:drawing>
          <wp:anchor distT="0" distB="0" distL="120396" distR="114300" simplePos="0" relativeHeight="251658752" behindDoc="0" locked="0" layoutInCell="1" allowOverlap="1" wp14:anchorId="6D81513D" wp14:editId="15168D78">
            <wp:simplePos x="0" y="0"/>
            <wp:positionH relativeFrom="column">
              <wp:posOffset>-254</wp:posOffset>
            </wp:positionH>
            <wp:positionV relativeFrom="paragraph">
              <wp:posOffset>0</wp:posOffset>
            </wp:positionV>
            <wp:extent cx="5486400" cy="3729990"/>
            <wp:effectExtent l="0" t="0" r="0" b="3810"/>
            <wp:wrapTopAndBottom/>
            <wp:docPr id="51"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BC4EC1" w:rsidRDefault="00BC4EC1" w:rsidP="00BC4EC1">
      <w:pPr>
        <w:pStyle w:val="FigureandTableNotes"/>
        <w:rPr>
          <w:i/>
        </w:rPr>
      </w:pPr>
      <w:r w:rsidRPr="008021A1">
        <w:rPr>
          <w:i/>
        </w:rPr>
        <w:t xml:space="preserve">Source: </w:t>
      </w:r>
      <w:r w:rsidRPr="008021A1">
        <w:t xml:space="preserve">2012 </w:t>
      </w:r>
      <w:r>
        <w:t>three</w:t>
      </w:r>
      <w:r w:rsidRPr="008021A1">
        <w:t>-year public</w:t>
      </w:r>
      <w:r>
        <w:t>-</w:t>
      </w:r>
      <w:r w:rsidRPr="008021A1">
        <w:t>use microdata from the American Community Survey, accessed through IPUMS</w:t>
      </w:r>
      <w:r>
        <w:t xml:space="preserve"> </w:t>
      </w:r>
      <w:r w:rsidRPr="00774794">
        <w:t>(</w:t>
      </w:r>
      <w:proofErr w:type="spellStart"/>
      <w:r w:rsidRPr="00774794">
        <w:t>Ruggles</w:t>
      </w:r>
      <w:proofErr w:type="spellEnd"/>
      <w:r w:rsidRPr="00774794">
        <w:t xml:space="preserve"> et al. 2010).</w:t>
      </w:r>
    </w:p>
    <w:p w:rsidR="00BC4EC1" w:rsidRDefault="00BC4EC1" w:rsidP="00BC4EC1">
      <w:pPr>
        <w:pStyle w:val="BodyText"/>
      </w:pPr>
      <w:r w:rsidRPr="00E213A1">
        <w:rPr>
          <w:rStyle w:val="SubtitleChar"/>
          <w:i/>
          <w:u w:val="none"/>
        </w:rPr>
        <w:t>Age.</w:t>
      </w:r>
      <w:r w:rsidRPr="008021A1">
        <w:t xml:space="preserve"> In </w:t>
      </w:r>
      <w:r>
        <w:t>the District</w:t>
      </w:r>
      <w:r w:rsidRPr="008021A1">
        <w:t xml:space="preserve">, </w:t>
      </w:r>
      <w:r>
        <w:t xml:space="preserve">84 percent </w:t>
      </w:r>
      <w:r w:rsidRPr="008021A1">
        <w:t xml:space="preserve">of </w:t>
      </w:r>
      <w:r>
        <w:t>LEP/NEP individuals</w:t>
      </w:r>
      <w:r w:rsidRPr="008021A1">
        <w:t xml:space="preserve"> are </w:t>
      </w:r>
      <w:r>
        <w:t xml:space="preserve">working-age </w:t>
      </w:r>
      <w:r w:rsidRPr="008021A1">
        <w:t xml:space="preserve">adults </w:t>
      </w:r>
      <w:r>
        <w:rPr>
          <w:szCs w:val="22"/>
        </w:rPr>
        <w:t xml:space="preserve">(age </w:t>
      </w:r>
      <w:r w:rsidRPr="008021A1">
        <w:t>18</w:t>
      </w:r>
      <w:r>
        <w:t>–</w:t>
      </w:r>
      <w:r w:rsidRPr="008021A1">
        <w:t>64</w:t>
      </w:r>
      <w:r>
        <w:rPr>
          <w:szCs w:val="22"/>
        </w:rPr>
        <w:t>)</w:t>
      </w:r>
      <w:r w:rsidRPr="003655C8">
        <w:rPr>
          <w:szCs w:val="22"/>
        </w:rPr>
        <w:t>,</w:t>
      </w:r>
      <w:r w:rsidRPr="008021A1">
        <w:t xml:space="preserve"> while 7 percent are children </w:t>
      </w:r>
      <w:r>
        <w:rPr>
          <w:szCs w:val="22"/>
        </w:rPr>
        <w:t xml:space="preserve">(age </w:t>
      </w:r>
      <w:r w:rsidRPr="008021A1">
        <w:t>5</w:t>
      </w:r>
      <w:r>
        <w:t>–</w:t>
      </w:r>
      <w:r w:rsidRPr="008021A1">
        <w:t>17</w:t>
      </w:r>
      <w:r>
        <w:rPr>
          <w:szCs w:val="22"/>
        </w:rPr>
        <w:t>)</w:t>
      </w:r>
      <w:r w:rsidRPr="003655C8">
        <w:rPr>
          <w:szCs w:val="22"/>
        </w:rPr>
        <w:t>,</w:t>
      </w:r>
      <w:r w:rsidRPr="008021A1">
        <w:t xml:space="preserve"> and 9 percent are seniors </w:t>
      </w:r>
      <w:r>
        <w:rPr>
          <w:szCs w:val="22"/>
        </w:rPr>
        <w:t xml:space="preserve">(age </w:t>
      </w:r>
      <w:r w:rsidRPr="008021A1">
        <w:t>65 and older</w:t>
      </w:r>
      <w:r>
        <w:rPr>
          <w:szCs w:val="22"/>
        </w:rPr>
        <w:t>)</w:t>
      </w:r>
      <w:r w:rsidRPr="003655C8">
        <w:rPr>
          <w:szCs w:val="22"/>
        </w:rPr>
        <w:t>.</w:t>
      </w:r>
      <w:r w:rsidRPr="008021A1">
        <w:t xml:space="preserve"> The share of individuals who are </w:t>
      </w:r>
      <w:r>
        <w:t>LEP/NEP</w:t>
      </w:r>
      <w:r w:rsidRPr="008021A1">
        <w:t xml:space="preserve"> in </w:t>
      </w:r>
      <w:r>
        <w:t>the District</w:t>
      </w:r>
      <w:r w:rsidRPr="008021A1">
        <w:t xml:space="preserve"> is small among </w:t>
      </w:r>
      <w:r>
        <w:rPr>
          <w:szCs w:val="22"/>
        </w:rPr>
        <w:t>each</w:t>
      </w:r>
      <w:r w:rsidRPr="003655C8">
        <w:rPr>
          <w:szCs w:val="22"/>
        </w:rPr>
        <w:t xml:space="preserve"> </w:t>
      </w:r>
      <w:r w:rsidRPr="008021A1">
        <w:t>age group.</w:t>
      </w:r>
      <w:r>
        <w:t xml:space="preserve"> </w:t>
      </w:r>
      <w:r w:rsidR="00DC3B07">
        <w:t>I</w:t>
      </w:r>
      <w:r w:rsidRPr="008021A1">
        <w:t xml:space="preserve">n </w:t>
      </w:r>
      <w:r>
        <w:t>the District</w:t>
      </w:r>
      <w:r w:rsidRPr="008021A1">
        <w:t xml:space="preserve">, </w:t>
      </w:r>
      <w:r w:rsidR="00DC3B07">
        <w:t>o</w:t>
      </w:r>
      <w:r w:rsidRPr="008021A1">
        <w:t xml:space="preserve">nly 3 percent </w:t>
      </w:r>
      <w:r w:rsidR="00DC3B07">
        <w:t xml:space="preserve">of children age 5 to 17 </w:t>
      </w:r>
      <w:r w:rsidRPr="008021A1">
        <w:t xml:space="preserve">are </w:t>
      </w:r>
      <w:r>
        <w:t>LEP/NEP</w:t>
      </w:r>
      <w:r w:rsidR="00DC3B07">
        <w:t>, o</w:t>
      </w:r>
      <w:r>
        <w:t>nly 5 percent of working-age adults</w:t>
      </w:r>
      <w:r w:rsidR="00DC3B07">
        <w:t xml:space="preserve"> </w:t>
      </w:r>
      <w:r w:rsidR="00DC3B07">
        <w:t>age 18</w:t>
      </w:r>
      <w:r w:rsidR="00EA1FCD">
        <w:t>–</w:t>
      </w:r>
      <w:r w:rsidR="00DC3B07">
        <w:t>64</w:t>
      </w:r>
      <w:r>
        <w:t xml:space="preserve"> are</w:t>
      </w:r>
      <w:r w:rsidR="00DC3B07">
        <w:t xml:space="preserve"> LEP/NEP and only 4 percent of seniors age 65 and older</w:t>
      </w:r>
      <w:r w:rsidRPr="008021A1">
        <w:t xml:space="preserve"> are </w:t>
      </w:r>
      <w:r>
        <w:t>LEP/NEP</w:t>
      </w:r>
      <w:r w:rsidRPr="008021A1">
        <w:t>.</w:t>
      </w:r>
    </w:p>
    <w:p w:rsidR="00BC4EC1" w:rsidRDefault="00BC4EC1" w:rsidP="00BC4EC1">
      <w:pPr>
        <w:pStyle w:val="BodyTextFirstIndent"/>
      </w:pPr>
      <w:r>
        <w:t>Figure 11</w:t>
      </w:r>
      <w:r w:rsidRPr="008021A1">
        <w:t xml:space="preserve"> shows the age breakdown of </w:t>
      </w:r>
      <w:r>
        <w:t>LEP/NEP individuals</w:t>
      </w:r>
      <w:r w:rsidRPr="008021A1">
        <w:t xml:space="preserve"> </w:t>
      </w:r>
      <w:r>
        <w:rPr>
          <w:szCs w:val="22"/>
        </w:rPr>
        <w:t>speaking one of</w:t>
      </w:r>
      <w:r>
        <w:t xml:space="preserve"> the top six</w:t>
      </w:r>
      <w:r w:rsidRPr="008021A1">
        <w:t xml:space="preserve"> languages</w:t>
      </w:r>
      <w:r>
        <w:t xml:space="preserve"> </w:t>
      </w:r>
      <w:r w:rsidRPr="008021A1">
        <w:t>in the greater DC area.</w:t>
      </w:r>
      <w:r>
        <w:t xml:space="preserve"> We show these numbers for the greater DC area because the counts are too small in the data to calculate age by language spoken among LEP/NEP individuals in the District alone.</w:t>
      </w:r>
      <w:r w:rsidRPr="008021A1">
        <w:t xml:space="preserve"> </w:t>
      </w:r>
      <w:r>
        <w:rPr>
          <w:szCs w:val="22"/>
        </w:rPr>
        <w:t>Across</w:t>
      </w:r>
      <w:r>
        <w:t xml:space="preserve"> the top six languages spoken by LEP/NEP individuals in the greater DC area,</w:t>
      </w:r>
      <w:r>
        <w:rPr>
          <w:rStyle w:val="EndnoteReference"/>
        </w:rPr>
        <w:endnoteReference w:id="15"/>
      </w:r>
      <w:r>
        <w:t xml:space="preserve"> </w:t>
      </w:r>
      <w:r w:rsidRPr="008021A1">
        <w:t xml:space="preserve">the majority </w:t>
      </w:r>
      <w:r>
        <w:rPr>
          <w:szCs w:val="22"/>
        </w:rPr>
        <w:t xml:space="preserve">of LEP/NEP individuals </w:t>
      </w:r>
      <w:r w:rsidRPr="008021A1">
        <w:t>are working</w:t>
      </w:r>
      <w:r>
        <w:rPr>
          <w:szCs w:val="22"/>
        </w:rPr>
        <w:t>-</w:t>
      </w:r>
      <w:r w:rsidRPr="008021A1">
        <w:t>age adults.</w:t>
      </w:r>
      <w:r>
        <w:t xml:space="preserve"> These age distributions show that relative to speakers of other languages, a larger proportion of French- and Vietnamese-speaking LEP/NEP individuals are children (though the numbers of French- and Vietnamese-speaking children are still much smaller than the number of Spanish-speaking children), and a larger share of LEP/NEP Korean speakers are seniors. </w:t>
      </w:r>
    </w:p>
    <w:p w:rsidR="00BC4EC1" w:rsidRDefault="00BC4EC1">
      <w:pPr>
        <w:spacing w:after="200" w:line="276" w:lineRule="auto"/>
        <w:jc w:val="left"/>
        <w:rPr>
          <w:rFonts w:ascii="Gill Sans MT" w:eastAsia="MS Mincho" w:hAnsi="Gill Sans MT"/>
          <w:b/>
          <w:noProof/>
        </w:rPr>
      </w:pPr>
      <w:r>
        <w:br w:type="page"/>
      </w:r>
    </w:p>
    <w:p w:rsidR="00BC4EC1" w:rsidRDefault="00BC4EC1" w:rsidP="00BC4EC1">
      <w:pPr>
        <w:pStyle w:val="FigureandTableTitle"/>
      </w:pPr>
      <w:r w:rsidRPr="008021A1">
        <w:t xml:space="preserve">Figure </w:t>
      </w:r>
      <w:r>
        <w:fldChar w:fldCharType="begin"/>
      </w:r>
      <w:r>
        <w:instrText xml:space="preserve"> SEQ Figure \* ARABIC </w:instrText>
      </w:r>
      <w:r>
        <w:fldChar w:fldCharType="separate"/>
      </w:r>
      <w:r w:rsidR="004C37C5">
        <w:t>9</w:t>
      </w:r>
      <w:r>
        <w:fldChar w:fldCharType="end"/>
      </w:r>
      <w:r>
        <w:t>. Age Distribution of LEP/NEP Individuals by Language in the Greater DC Area</w:t>
      </w:r>
    </w:p>
    <w:p w:rsidR="00BC4EC1" w:rsidRPr="008021A1" w:rsidRDefault="00130D4E" w:rsidP="00BC4EC1">
      <w:pPr>
        <w:contextualSpacing/>
      </w:pPr>
      <w:r>
        <w:rPr>
          <w:noProof/>
        </w:rPr>
        <w:drawing>
          <wp:anchor distT="0" distB="0" distL="120396" distR="114300" simplePos="0" relativeHeight="251659776" behindDoc="0" locked="0" layoutInCell="1" allowOverlap="0" wp14:anchorId="1D3DF542" wp14:editId="6CF6B572">
            <wp:simplePos x="0" y="0"/>
            <wp:positionH relativeFrom="column">
              <wp:posOffset>-182499</wp:posOffset>
            </wp:positionH>
            <wp:positionV relativeFrom="paragraph">
              <wp:posOffset>91440</wp:posOffset>
            </wp:positionV>
            <wp:extent cx="6126480" cy="3885565"/>
            <wp:effectExtent l="0" t="0" r="7620" b="635"/>
            <wp:wrapTopAndBottom/>
            <wp:docPr id="5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BC4EC1" w:rsidRDefault="00BC4EC1" w:rsidP="00BC4EC1">
      <w:pPr>
        <w:pStyle w:val="FigureandTableNotes"/>
        <w:rPr>
          <w:i/>
        </w:rPr>
      </w:pPr>
      <w:r w:rsidRPr="008021A1">
        <w:rPr>
          <w:i/>
        </w:rPr>
        <w:t xml:space="preserve">Source: </w:t>
      </w:r>
      <w:r w:rsidRPr="008021A1">
        <w:t>2012 3-year public</w:t>
      </w:r>
      <w:r>
        <w:t>-</w:t>
      </w:r>
      <w:r w:rsidRPr="008021A1">
        <w:t>use microdata from the American Community Survey, accessed through IPUMS</w:t>
      </w:r>
      <w:r>
        <w:t xml:space="preserve"> </w:t>
      </w:r>
      <w:r w:rsidRPr="00774794">
        <w:t>(</w:t>
      </w:r>
      <w:proofErr w:type="spellStart"/>
      <w:r w:rsidRPr="00774794">
        <w:t>Ruggles</w:t>
      </w:r>
      <w:proofErr w:type="spellEnd"/>
      <w:r w:rsidRPr="00774794">
        <w:t xml:space="preserve"> et al. 2010).</w:t>
      </w:r>
      <w:r>
        <w:t xml:space="preserve"> </w:t>
      </w:r>
    </w:p>
    <w:p w:rsidR="00BC4EC1" w:rsidRPr="00C61F2C" w:rsidRDefault="00BC4EC1" w:rsidP="00BC4EC1">
      <w:pPr>
        <w:pStyle w:val="BodyTextFirstIndent"/>
      </w:pPr>
      <w:r w:rsidRPr="00C61F2C">
        <w:t>The top language spoken by LEP/NEP children, working</w:t>
      </w:r>
      <w:r>
        <w:t>-</w:t>
      </w:r>
      <w:r w:rsidRPr="00C61F2C">
        <w:t xml:space="preserve">age adults, and seniors in the greater DC area is Spanish. After that, the </w:t>
      </w:r>
      <w:r>
        <w:t xml:space="preserve">most common </w:t>
      </w:r>
      <w:r w:rsidRPr="00C61F2C">
        <w:t>four other languages spoken by LEP/NEP children in the greater DC area are French, Vietnamese, Chinese, and Filipino/Tag</w:t>
      </w:r>
      <w:r>
        <w:t>a</w:t>
      </w:r>
      <w:r w:rsidRPr="00C61F2C">
        <w:t>log. Among working</w:t>
      </w:r>
      <w:r>
        <w:t>-</w:t>
      </w:r>
      <w:r w:rsidRPr="00C61F2C">
        <w:t xml:space="preserve">age LEP/NEP </w:t>
      </w:r>
      <w:r>
        <w:t>adults,</w:t>
      </w:r>
      <w:r w:rsidRPr="00C61F2C">
        <w:t xml:space="preserve"> the top four languages spoken other than Spanish are Chinese, Korean, Vietnamese, and Amharic/Ethiopian. Among LEP/NEP seniors in the greater DC area, the </w:t>
      </w:r>
      <w:r>
        <w:t xml:space="preserve">most common </w:t>
      </w:r>
      <w:r w:rsidRPr="00C61F2C">
        <w:t>languages spoken other than Spanish are Korean, Chinese, Vietnamese, and Persian/Iranian/Farsi.</w:t>
      </w:r>
      <w:r w:rsidRPr="00057EE6">
        <w:rPr>
          <w:rStyle w:val="EndnoteReference"/>
        </w:rPr>
        <w:endnoteReference w:id="16"/>
      </w:r>
    </w:p>
    <w:p w:rsidR="00BC4EC1" w:rsidRDefault="00BC4EC1" w:rsidP="00BC4EC1">
      <w:pPr>
        <w:pStyle w:val="BodyTextFirstIndent"/>
      </w:pPr>
      <w:r w:rsidRPr="00C24AEA">
        <w:t xml:space="preserve">LEP/NEP status may </w:t>
      </w:r>
      <w:r>
        <w:t>affect</w:t>
      </w:r>
      <w:r w:rsidRPr="00C24AEA">
        <w:t xml:space="preserve"> access to city services and government agencies not only</w:t>
      </w:r>
      <w:r>
        <w:t xml:space="preserve"> </w:t>
      </w:r>
      <w:r w:rsidR="00DC3B07">
        <w:t xml:space="preserve">for </w:t>
      </w:r>
      <w:r w:rsidRPr="00C24AEA">
        <w:t xml:space="preserve">LEP/NEP individuals, but also </w:t>
      </w:r>
      <w:r w:rsidR="00DC3B07">
        <w:t xml:space="preserve">for </w:t>
      </w:r>
      <w:r w:rsidRPr="00C24AEA">
        <w:t>children who live with LEP/NEP parents. Among young children (age 3</w:t>
      </w:r>
      <w:r>
        <w:t>–</w:t>
      </w:r>
      <w:r w:rsidRPr="00C24AEA">
        <w:t xml:space="preserve">4) in </w:t>
      </w:r>
      <w:r>
        <w:t>the District</w:t>
      </w:r>
      <w:r w:rsidRPr="00C24AEA">
        <w:t xml:space="preserve">, roughly </w:t>
      </w:r>
      <w:r>
        <w:t xml:space="preserve">10 percent </w:t>
      </w:r>
      <w:r w:rsidRPr="00C24AEA">
        <w:t>live with LEP/NEP parents</w:t>
      </w:r>
      <w:r>
        <w:t>—</w:t>
      </w:r>
      <w:r w:rsidRPr="00C24AEA">
        <w:t>that is, they do not live with a mother or father who is English proficient.</w:t>
      </w:r>
      <w:r>
        <w:t xml:space="preserve"> </w:t>
      </w:r>
      <w:r w:rsidRPr="00C24AEA">
        <w:t xml:space="preserve">Among school-age children </w:t>
      </w:r>
      <w:r>
        <w:t>(</w:t>
      </w:r>
      <w:r w:rsidRPr="00C24AEA">
        <w:t>age 5 to 17</w:t>
      </w:r>
      <w:r>
        <w:t>)</w:t>
      </w:r>
      <w:r w:rsidRPr="00C24AEA">
        <w:t xml:space="preserve"> in </w:t>
      </w:r>
      <w:r>
        <w:t>the District</w:t>
      </w:r>
      <w:r w:rsidRPr="00C24AEA">
        <w:t>, about 7 percent live with LEP/NEP parents. Four percent of children (</w:t>
      </w:r>
      <w:r>
        <w:t xml:space="preserve">from birth to age </w:t>
      </w:r>
      <w:r w:rsidRPr="00C24AEA">
        <w:t xml:space="preserve">17) in </w:t>
      </w:r>
      <w:r>
        <w:t>the District</w:t>
      </w:r>
      <w:r w:rsidRPr="00C24AEA">
        <w:t xml:space="preserve"> live in linguistically isolated households</w:t>
      </w:r>
      <w:r>
        <w:t>,</w:t>
      </w:r>
      <w:r w:rsidRPr="00C24AEA">
        <w:t xml:space="preserve"> </w:t>
      </w:r>
      <w:r>
        <w:t xml:space="preserve">where </w:t>
      </w:r>
      <w:r w:rsidRPr="00C24AEA">
        <w:t>nobody age 14 or older speaks English “very well</w:t>
      </w:r>
      <w:r>
        <w:t>.</w:t>
      </w:r>
      <w:r w:rsidRPr="00C24AEA">
        <w:t>”</w:t>
      </w:r>
    </w:p>
    <w:p w:rsidR="00BC4EC1" w:rsidRDefault="00BC4EC1" w:rsidP="00BC4EC1">
      <w:pPr>
        <w:pStyle w:val="BodyTextFirstIndent"/>
      </w:pPr>
      <w:r w:rsidRPr="008021A1">
        <w:t xml:space="preserve">In </w:t>
      </w:r>
      <w:r>
        <w:t>the District</w:t>
      </w:r>
      <w:r w:rsidRPr="008021A1">
        <w:t xml:space="preserve">, about </w:t>
      </w:r>
      <w:r>
        <w:t xml:space="preserve">40 percent of LEP/NEP residents are citizens, while </w:t>
      </w:r>
      <w:r w:rsidRPr="008021A1">
        <w:t>60 percent are noncitizens</w:t>
      </w:r>
      <w:r>
        <w:t>.</w:t>
      </w:r>
      <w:r>
        <w:rPr>
          <w:rStyle w:val="EndnoteReference"/>
          <w:rFonts w:ascii="Calibri" w:hAnsi="Calibri"/>
        </w:rPr>
        <w:endnoteReference w:id="17"/>
      </w:r>
      <w:r>
        <w:t xml:space="preserve"> Fifty-one </w:t>
      </w:r>
      <w:r w:rsidRPr="007E7A23">
        <w:t xml:space="preserve">percent of LEP/NEP individuals in </w:t>
      </w:r>
      <w:r>
        <w:t>the District</w:t>
      </w:r>
      <w:r w:rsidRPr="007E7A23">
        <w:t xml:space="preserve"> are female, while 49 percent are male.</w:t>
      </w:r>
    </w:p>
    <w:p w:rsidR="00BC4EC1" w:rsidRDefault="00BC4EC1">
      <w:pPr>
        <w:spacing w:after="200" w:line="276" w:lineRule="auto"/>
        <w:jc w:val="left"/>
        <w:rPr>
          <w:rFonts w:ascii="Gill Sans MT" w:eastAsia="MS Mincho" w:hAnsi="Gill Sans MT"/>
          <w:b/>
          <w:noProof/>
        </w:rPr>
      </w:pPr>
      <w:r>
        <w:br w:type="page"/>
      </w:r>
    </w:p>
    <w:p w:rsidR="00BC4EC1" w:rsidRDefault="00BC4EC1" w:rsidP="00BC4EC1">
      <w:pPr>
        <w:pStyle w:val="FigureandTableTitle"/>
      </w:pPr>
      <w:r w:rsidRPr="008021A1">
        <w:t xml:space="preserve">Figure </w:t>
      </w:r>
      <w:r>
        <w:fldChar w:fldCharType="begin"/>
      </w:r>
      <w:r>
        <w:instrText xml:space="preserve"> SEQ Figure \* ARABIC </w:instrText>
      </w:r>
      <w:r>
        <w:fldChar w:fldCharType="separate"/>
      </w:r>
      <w:r w:rsidR="004C37C5">
        <w:t>10</w:t>
      </w:r>
      <w:r>
        <w:fldChar w:fldCharType="end"/>
      </w:r>
      <w:r>
        <w:t>. Demographic Characteristics of LEP/NEP Individuals in the District of Columbia (N=26,373)</w:t>
      </w:r>
    </w:p>
    <w:p w:rsidR="00BC4EC1" w:rsidRDefault="00130D4E" w:rsidP="00EA1FCD">
      <w:pPr>
        <w:pStyle w:val="FigureandTableNotes"/>
      </w:pPr>
      <w:r>
        <w:rPr>
          <w:noProof/>
        </w:rPr>
        <w:drawing>
          <wp:anchor distT="0" distB="0" distL="114300" distR="114300" simplePos="0" relativeHeight="251660800" behindDoc="0" locked="0" layoutInCell="1" allowOverlap="0" wp14:anchorId="4F9BD9C3" wp14:editId="28FDF7B7">
            <wp:simplePos x="0" y="0"/>
            <wp:positionH relativeFrom="column">
              <wp:posOffset>-90932</wp:posOffset>
            </wp:positionH>
            <wp:positionV relativeFrom="paragraph">
              <wp:posOffset>45720</wp:posOffset>
            </wp:positionV>
            <wp:extent cx="6117336" cy="3657600"/>
            <wp:effectExtent l="0" t="0" r="0" b="0"/>
            <wp:wrapTopAndBottom/>
            <wp:docPr id="49"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BC4EC1" w:rsidRPr="008021A1">
        <w:rPr>
          <w:i/>
        </w:rPr>
        <w:t xml:space="preserve">Source: </w:t>
      </w:r>
      <w:r w:rsidR="00BC4EC1" w:rsidRPr="008021A1">
        <w:t xml:space="preserve">2012 </w:t>
      </w:r>
      <w:r w:rsidR="00EA1FCD">
        <w:t>three</w:t>
      </w:r>
      <w:r w:rsidR="00BC4EC1" w:rsidRPr="008021A1">
        <w:t>-year public</w:t>
      </w:r>
      <w:r w:rsidR="00BC4EC1">
        <w:t>-</w:t>
      </w:r>
      <w:r w:rsidR="00BC4EC1" w:rsidRPr="008021A1">
        <w:t>use microdata from the American Community Survey, accessed through IPUMS</w:t>
      </w:r>
      <w:r w:rsidR="00BC4EC1">
        <w:t xml:space="preserve"> (</w:t>
      </w:r>
      <w:proofErr w:type="spellStart"/>
      <w:r w:rsidR="00BC4EC1">
        <w:t>Ruggles</w:t>
      </w:r>
      <w:proofErr w:type="spellEnd"/>
      <w:r w:rsidR="00BC4EC1">
        <w:t xml:space="preserve"> et al. 2010).</w:t>
      </w:r>
    </w:p>
    <w:p w:rsidR="00BC4EC1" w:rsidRDefault="00BC4EC1" w:rsidP="00BC4EC1">
      <w:pPr>
        <w:pStyle w:val="BodyText"/>
      </w:pPr>
      <w:r w:rsidRPr="00F14828">
        <w:rPr>
          <w:i/>
        </w:rPr>
        <w:t>Household characteristics.</w:t>
      </w:r>
      <w:r w:rsidRPr="00C24AEA">
        <w:rPr>
          <w:i/>
        </w:rPr>
        <w:t xml:space="preserve"> </w:t>
      </w:r>
      <w:r w:rsidRPr="00C24AEA">
        <w:t xml:space="preserve">LEP/NEP householders in </w:t>
      </w:r>
      <w:r>
        <w:t>the District</w:t>
      </w:r>
      <w:r w:rsidRPr="00C24AEA">
        <w:t xml:space="preserve"> are more likely to be married than English</w:t>
      </w:r>
      <w:r>
        <w:t>-</w:t>
      </w:r>
      <w:r w:rsidRPr="00C24AEA">
        <w:t>proficient householders. About 41 percent of LEP/NEP householders are married,</w:t>
      </w:r>
      <w:r>
        <w:t xml:space="preserve"> compared with </w:t>
      </w:r>
      <w:r w:rsidRPr="00C24AEA">
        <w:t>24 percent of English</w:t>
      </w:r>
      <w:r>
        <w:t>-</w:t>
      </w:r>
      <w:r w:rsidRPr="00C24AEA">
        <w:t>proficient householders. In the District, about 55 percent of LEP/NEP heads of household have no children in their home, and 45 percent have one or more children. Among English</w:t>
      </w:r>
      <w:r>
        <w:t>-</w:t>
      </w:r>
      <w:r w:rsidRPr="00C24AEA">
        <w:t>proficient heads</w:t>
      </w:r>
      <w:r>
        <w:t xml:space="preserve"> </w:t>
      </w:r>
      <w:r w:rsidRPr="00C24AEA">
        <w:t>of</w:t>
      </w:r>
      <w:r>
        <w:t xml:space="preserve"> </w:t>
      </w:r>
      <w:r w:rsidRPr="00C24AEA">
        <w:t xml:space="preserve">household, 76 percent have no children present, and only </w:t>
      </w:r>
      <w:r>
        <w:t xml:space="preserve">24 percent </w:t>
      </w:r>
      <w:r w:rsidRPr="00C24AEA">
        <w:t xml:space="preserve">have at least one child. </w:t>
      </w:r>
    </w:p>
    <w:p w:rsidR="00BC4EC1" w:rsidRDefault="00BC4EC1" w:rsidP="00BC4EC1">
      <w:pPr>
        <w:pStyle w:val="BodyTextFirstIndent"/>
      </w:pPr>
      <w:r w:rsidRPr="00C24AEA">
        <w:t>As a result of these higher rates of marriage and greater number of children, LEP/NEP families (headed by a LEP/NEP individual) are larger, on average, than English</w:t>
      </w:r>
      <w:r>
        <w:t>-</w:t>
      </w:r>
      <w:r w:rsidRPr="00C24AEA">
        <w:t>proficient families.</w:t>
      </w:r>
      <w:r>
        <w:t xml:space="preserve"> </w:t>
      </w:r>
      <w:r w:rsidRPr="00C24AEA">
        <w:t xml:space="preserve">The average size of LEP/NEP families is 2.5 people, compared </w:t>
      </w:r>
      <w:r>
        <w:t xml:space="preserve">with </w:t>
      </w:r>
      <w:r w:rsidRPr="00C24AEA">
        <w:t xml:space="preserve">1.8 </w:t>
      </w:r>
      <w:r>
        <w:t xml:space="preserve">people in </w:t>
      </w:r>
      <w:r w:rsidRPr="00C24AEA">
        <w:t>non</w:t>
      </w:r>
      <w:r>
        <w:t>-</w:t>
      </w:r>
      <w:r w:rsidRPr="00C24AEA">
        <w:t xml:space="preserve">LEP/NEP families. </w:t>
      </w:r>
    </w:p>
    <w:p w:rsidR="00BC4EC1" w:rsidRDefault="00BC4EC1">
      <w:pPr>
        <w:spacing w:after="200" w:line="276" w:lineRule="auto"/>
        <w:jc w:val="left"/>
        <w:rPr>
          <w:rFonts w:ascii="Gill Sans MT" w:eastAsia="MS Mincho" w:hAnsi="Gill Sans MT"/>
          <w:b/>
          <w:noProof/>
        </w:rPr>
      </w:pPr>
      <w:r>
        <w:br w:type="page"/>
      </w:r>
    </w:p>
    <w:p w:rsidR="00BC4EC1" w:rsidRDefault="00BC4EC1" w:rsidP="00BC4EC1">
      <w:pPr>
        <w:pStyle w:val="FigureandTableTitle"/>
      </w:pPr>
      <w:r w:rsidRPr="008021A1">
        <w:t xml:space="preserve">Figure </w:t>
      </w:r>
      <w:r>
        <w:fldChar w:fldCharType="begin"/>
      </w:r>
      <w:r>
        <w:instrText xml:space="preserve"> SEQ Figure \* ARABIC </w:instrText>
      </w:r>
      <w:r>
        <w:fldChar w:fldCharType="separate"/>
      </w:r>
      <w:r w:rsidR="004C37C5">
        <w:t>11</w:t>
      </w:r>
      <w:r>
        <w:fldChar w:fldCharType="end"/>
      </w:r>
      <w:r>
        <w:t>. Demographic Characteristics of LEP/NEP Households in the District of Columbia (N=9,495)</w:t>
      </w:r>
    </w:p>
    <w:p w:rsidR="00BC4EC1" w:rsidRPr="006C68E2" w:rsidRDefault="00130D4E" w:rsidP="00BC4EC1">
      <w:pPr>
        <w:pStyle w:val="FigureandTableNotes"/>
        <w:rPr>
          <w:rFonts w:ascii="Calibri" w:hAnsi="Calibri"/>
        </w:rPr>
      </w:pPr>
      <w:r>
        <w:rPr>
          <w:bCs w:val="0"/>
          <w:noProof/>
        </w:rPr>
        <w:drawing>
          <wp:anchor distT="0" distB="0" distL="120396" distR="115444" simplePos="0" relativeHeight="251661824" behindDoc="0" locked="0" layoutInCell="1" allowOverlap="0" wp14:anchorId="3214F435" wp14:editId="68E96F17">
            <wp:simplePos x="0" y="0"/>
            <wp:positionH relativeFrom="column">
              <wp:posOffset>-91059</wp:posOffset>
            </wp:positionH>
            <wp:positionV relativeFrom="paragraph">
              <wp:posOffset>91440</wp:posOffset>
            </wp:positionV>
            <wp:extent cx="6118860" cy="3654425"/>
            <wp:effectExtent l="0" t="0" r="15240" b="3175"/>
            <wp:wrapTopAndBottom/>
            <wp:docPr id="48"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BC4EC1" w:rsidRPr="008021A1">
        <w:rPr>
          <w:i/>
        </w:rPr>
        <w:t xml:space="preserve">Source: </w:t>
      </w:r>
      <w:r w:rsidR="00BC4EC1" w:rsidRPr="008021A1">
        <w:t xml:space="preserve">2012 </w:t>
      </w:r>
      <w:r w:rsidR="00BC4EC1">
        <w:t>three</w:t>
      </w:r>
      <w:r w:rsidR="00BC4EC1" w:rsidRPr="008021A1">
        <w:t>-year</w:t>
      </w:r>
      <w:r w:rsidR="00BC4EC1">
        <w:t xml:space="preserve"> </w:t>
      </w:r>
      <w:r w:rsidR="00BC4EC1" w:rsidRPr="008021A1">
        <w:t>public</w:t>
      </w:r>
      <w:r w:rsidR="00BC4EC1">
        <w:t>-</w:t>
      </w:r>
      <w:r w:rsidR="00BC4EC1" w:rsidRPr="008021A1">
        <w:t>use microdata from the American Community Survey, accessed through IPUMS</w:t>
      </w:r>
      <w:r w:rsidR="00BC4EC1">
        <w:t xml:space="preserve"> (</w:t>
      </w:r>
      <w:proofErr w:type="spellStart"/>
      <w:r w:rsidR="00BC4EC1">
        <w:t>Ruggles</w:t>
      </w:r>
      <w:proofErr w:type="spellEnd"/>
      <w:r w:rsidR="00BC4EC1">
        <w:t xml:space="preserve"> et al. 2010).</w:t>
      </w:r>
    </w:p>
    <w:p w:rsidR="00BC4EC1" w:rsidRDefault="00BC4EC1" w:rsidP="00BC4EC1">
      <w:pPr>
        <w:pStyle w:val="BodyTextFirstIndent"/>
      </w:pPr>
      <w:r w:rsidRPr="008021A1">
        <w:t xml:space="preserve">In </w:t>
      </w:r>
      <w:r>
        <w:t>the District</w:t>
      </w:r>
      <w:r w:rsidRPr="008021A1">
        <w:t xml:space="preserve">, </w:t>
      </w:r>
      <w:r>
        <w:rPr>
          <w:szCs w:val="22"/>
        </w:rPr>
        <w:t>slightly less than half</w:t>
      </w:r>
      <w:r w:rsidRPr="008021A1">
        <w:t xml:space="preserve"> of </w:t>
      </w:r>
      <w:r>
        <w:t>LEP/NEP</w:t>
      </w:r>
      <w:r w:rsidRPr="008021A1">
        <w:t xml:space="preserve"> households have low incomes. About 24 percent of </w:t>
      </w:r>
      <w:r>
        <w:t>LEP/NEP</w:t>
      </w:r>
      <w:r w:rsidRPr="008021A1">
        <w:t xml:space="preserve"> households have income below the federal poverty </w:t>
      </w:r>
      <w:r>
        <w:t>level</w:t>
      </w:r>
      <w:r w:rsidRPr="008021A1">
        <w:t>, and another 24 percent have incomes between</w:t>
      </w:r>
      <w:r>
        <w:t xml:space="preserve"> </w:t>
      </w:r>
      <w:r w:rsidRPr="008021A1">
        <w:t xml:space="preserve">100 percent </w:t>
      </w:r>
      <w:r>
        <w:t xml:space="preserve">and 200 percent </w:t>
      </w:r>
      <w:r w:rsidRPr="008021A1">
        <w:t>of the federal poverty</w:t>
      </w:r>
      <w:r>
        <w:t xml:space="preserve"> level</w:t>
      </w:r>
      <w:r w:rsidRPr="008021A1">
        <w:t xml:space="preserve">. </w:t>
      </w:r>
    </w:p>
    <w:p w:rsidR="00BC4EC1" w:rsidRDefault="00BC4EC1" w:rsidP="00BC4EC1">
      <w:pPr>
        <w:pStyle w:val="BodyTextFirstIndent"/>
      </w:pPr>
      <w:r w:rsidRPr="004E6C93">
        <w:t xml:space="preserve">Poverty rates among </w:t>
      </w:r>
      <w:r w:rsidRPr="002B3BC9">
        <w:t>LEP</w:t>
      </w:r>
      <w:r w:rsidRPr="00D07D27">
        <w:t xml:space="preserve">/NEP individuals vary slightly by language spoken. </w:t>
      </w:r>
      <w:r>
        <w:t>Figure 14</w:t>
      </w:r>
      <w:r w:rsidRPr="00C24AEA">
        <w:t xml:space="preserve"> </w:t>
      </w:r>
      <w:r w:rsidRPr="004E6C93">
        <w:t>show</w:t>
      </w:r>
      <w:r w:rsidR="00B60AC1">
        <w:t>s</w:t>
      </w:r>
      <w:r w:rsidRPr="004E6C93">
        <w:t xml:space="preserve"> </w:t>
      </w:r>
      <w:r w:rsidRPr="00C24AEA">
        <w:t>poverty rates by language spoken, for the top languages spoken by LEP individuals in the greater DC area</w:t>
      </w:r>
      <w:r>
        <w:t>;</w:t>
      </w:r>
      <w:r w:rsidRPr="00C24AEA">
        <w:t xml:space="preserve"> sample sizes are not sufficient to calculate these numbers for </w:t>
      </w:r>
      <w:r>
        <w:t>the District alone</w:t>
      </w:r>
      <w:r w:rsidRPr="00C24AEA">
        <w:t>.</w:t>
      </w:r>
    </w:p>
    <w:p w:rsidR="00BC4EC1" w:rsidRPr="008021A1" w:rsidRDefault="00BC4EC1" w:rsidP="00BC4EC1"/>
    <w:p w:rsidR="00BC4EC1" w:rsidRDefault="00BC4EC1">
      <w:pPr>
        <w:spacing w:after="200" w:line="276" w:lineRule="auto"/>
        <w:jc w:val="left"/>
        <w:rPr>
          <w:rFonts w:ascii="Gill Sans MT" w:eastAsia="MS Mincho" w:hAnsi="Gill Sans MT"/>
          <w:b/>
          <w:noProof/>
        </w:rPr>
      </w:pPr>
      <w:r>
        <w:br w:type="page"/>
      </w:r>
    </w:p>
    <w:p w:rsidR="00BC4EC1" w:rsidRDefault="00130D4E" w:rsidP="00BC4EC1">
      <w:pPr>
        <w:pStyle w:val="FigureandTableTitle"/>
      </w:pPr>
      <w:r>
        <w:rPr>
          <w:b w:val="0"/>
        </w:rPr>
        <w:drawing>
          <wp:anchor distT="0" distB="0" distL="120396" distR="114300" simplePos="0" relativeHeight="251662848" behindDoc="0" locked="0" layoutInCell="1" allowOverlap="0" wp14:anchorId="5E57BD64" wp14:editId="67097EB7">
            <wp:simplePos x="0" y="0"/>
            <wp:positionH relativeFrom="column">
              <wp:posOffset>-167259</wp:posOffset>
            </wp:positionH>
            <wp:positionV relativeFrom="paragraph">
              <wp:posOffset>342265</wp:posOffset>
            </wp:positionV>
            <wp:extent cx="6165850" cy="3885565"/>
            <wp:effectExtent l="0" t="0" r="6350" b="635"/>
            <wp:wrapTopAndBottom/>
            <wp:docPr id="47"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BC4EC1" w:rsidRPr="008021A1">
        <w:t xml:space="preserve">Figure </w:t>
      </w:r>
      <w:r w:rsidR="00BC4EC1">
        <w:fldChar w:fldCharType="begin"/>
      </w:r>
      <w:r w:rsidR="00BC4EC1">
        <w:instrText xml:space="preserve"> SEQ Figure \* ARABIC </w:instrText>
      </w:r>
      <w:r w:rsidR="00BC4EC1">
        <w:fldChar w:fldCharType="separate"/>
      </w:r>
      <w:r w:rsidR="004C37C5">
        <w:t>12</w:t>
      </w:r>
      <w:r w:rsidR="00BC4EC1">
        <w:fldChar w:fldCharType="end"/>
      </w:r>
      <w:r w:rsidR="00BC4EC1">
        <w:t>. Poverty among LEP/NEP Households by Language in the Greater DC Area</w:t>
      </w:r>
    </w:p>
    <w:p w:rsidR="00BC4EC1" w:rsidRPr="008021A1" w:rsidRDefault="00BC4EC1" w:rsidP="00BC4EC1">
      <w:pPr>
        <w:contextualSpacing/>
      </w:pPr>
    </w:p>
    <w:p w:rsidR="00BC4EC1" w:rsidRDefault="00BC4EC1" w:rsidP="00BC4EC1">
      <w:pPr>
        <w:pStyle w:val="FigureandTableNotes"/>
        <w:rPr>
          <w:i/>
        </w:rPr>
      </w:pPr>
      <w:r w:rsidRPr="008021A1">
        <w:rPr>
          <w:i/>
        </w:rPr>
        <w:t xml:space="preserve">Source: </w:t>
      </w:r>
      <w:r w:rsidRPr="008021A1">
        <w:t xml:space="preserve">2012 </w:t>
      </w:r>
      <w:r>
        <w:t>three</w:t>
      </w:r>
      <w:r w:rsidRPr="008021A1">
        <w:t>-year public</w:t>
      </w:r>
      <w:r>
        <w:t>-</w:t>
      </w:r>
      <w:r w:rsidRPr="008021A1">
        <w:t>use microdata from the American Community Survey, accessed through IPUMS</w:t>
      </w:r>
      <w:r>
        <w:t xml:space="preserve"> (</w:t>
      </w:r>
      <w:proofErr w:type="spellStart"/>
      <w:r>
        <w:t>Ruggles</w:t>
      </w:r>
      <w:proofErr w:type="spellEnd"/>
      <w:r>
        <w:t xml:space="preserve"> et al. 2010).</w:t>
      </w:r>
    </w:p>
    <w:p w:rsidR="00BC4EC1" w:rsidRDefault="00BC4EC1" w:rsidP="00BC4EC1">
      <w:pPr>
        <w:pStyle w:val="BodyTextFirstIndent"/>
      </w:pPr>
      <w:r>
        <w:t>A</w:t>
      </w:r>
      <w:r w:rsidRPr="008021A1">
        <w:t xml:space="preserve">bout two-thirds (67 percent) </w:t>
      </w:r>
      <w:r>
        <w:t xml:space="preserve">of </w:t>
      </w:r>
      <w:r w:rsidRPr="008021A1">
        <w:t xml:space="preserve">households headed by an </w:t>
      </w:r>
      <w:r>
        <w:t>LEP/NEP</w:t>
      </w:r>
      <w:r w:rsidRPr="008021A1">
        <w:t xml:space="preserve"> individual are linguistically isolated. In the greater DC area, 57 percent of households headed by a</w:t>
      </w:r>
      <w:r>
        <w:t>n</w:t>
      </w:r>
      <w:r w:rsidRPr="008021A1">
        <w:t xml:space="preserve"> </w:t>
      </w:r>
      <w:r>
        <w:t>LEP/NEP</w:t>
      </w:r>
      <w:r w:rsidRPr="008021A1">
        <w:t xml:space="preserve"> individual are linguistically is</w:t>
      </w:r>
      <w:r w:rsidRPr="00A03342">
        <w:t>olated. However</w:t>
      </w:r>
      <w:r>
        <w:t>,</w:t>
      </w:r>
      <w:r w:rsidRPr="00A03342">
        <w:t xml:space="preserve"> the share of linguistically isolated households in the greater DC area</w:t>
      </w:r>
      <w:r w:rsidRPr="00A03342" w:rsidDel="003E2638">
        <w:t xml:space="preserve"> </w:t>
      </w:r>
      <w:r w:rsidRPr="00A03342">
        <w:t>seems to have fall</w:t>
      </w:r>
      <w:r>
        <w:t>e</w:t>
      </w:r>
      <w:r w:rsidRPr="00A03342">
        <w:t>n</w:t>
      </w:r>
      <w:r>
        <w:rPr>
          <w:szCs w:val="22"/>
        </w:rPr>
        <w:t xml:space="preserve"> from </w:t>
      </w:r>
      <w:r w:rsidRPr="00A03342">
        <w:t>2005</w:t>
      </w:r>
      <w:r>
        <w:t>–</w:t>
      </w:r>
      <w:r w:rsidRPr="00C24AEA">
        <w:t>07</w:t>
      </w:r>
      <w:r w:rsidRPr="00A03342">
        <w:t xml:space="preserve">, </w:t>
      </w:r>
      <w:r>
        <w:t xml:space="preserve">when it </w:t>
      </w:r>
      <w:r w:rsidRPr="00A03342">
        <w:t>was 6</w:t>
      </w:r>
      <w:r w:rsidRPr="00C24AEA">
        <w:t>3</w:t>
      </w:r>
      <w:r w:rsidRPr="00A03342">
        <w:t xml:space="preserve"> percent.</w:t>
      </w:r>
    </w:p>
    <w:p w:rsidR="00BC4EC1" w:rsidRPr="008021A1" w:rsidRDefault="00BC4EC1" w:rsidP="00BC4EC1">
      <w:pPr>
        <w:pStyle w:val="BodyTextFirstIndent"/>
      </w:pPr>
      <w:r w:rsidRPr="008021A1">
        <w:t xml:space="preserve">Rates of linguistic isolation also vary </w:t>
      </w:r>
      <w:r>
        <w:t xml:space="preserve">slightly </w:t>
      </w:r>
      <w:r w:rsidRPr="008021A1">
        <w:t xml:space="preserve">by language spoken in the household. </w:t>
      </w:r>
      <w:r>
        <w:t xml:space="preserve">Seventy-one </w:t>
      </w:r>
      <w:r w:rsidRPr="008021A1">
        <w:t xml:space="preserve">percent </w:t>
      </w:r>
      <w:r>
        <w:t xml:space="preserve">of Chinese-speaking </w:t>
      </w:r>
      <w:r w:rsidRPr="008021A1">
        <w:t>households</w:t>
      </w:r>
      <w:r>
        <w:t xml:space="preserve"> in the greater DC area</w:t>
      </w:r>
      <w:r w:rsidRPr="008021A1">
        <w:t xml:space="preserve"> are linguistically isolated, </w:t>
      </w:r>
      <w:r>
        <w:t>versus 53</w:t>
      </w:r>
      <w:r w:rsidRPr="008021A1">
        <w:t xml:space="preserve"> percent </w:t>
      </w:r>
      <w:r>
        <w:t xml:space="preserve">of </w:t>
      </w:r>
      <w:r w:rsidRPr="008021A1">
        <w:t>Amharic/Ethiopian</w:t>
      </w:r>
      <w:r>
        <w:t>-</w:t>
      </w:r>
      <w:r w:rsidRPr="008021A1">
        <w:t>speaking households.</w:t>
      </w:r>
    </w:p>
    <w:p w:rsidR="00BC4EC1" w:rsidRPr="008021A1" w:rsidRDefault="00BC4EC1" w:rsidP="00BC4EC1">
      <w:r w:rsidRPr="008021A1">
        <w:br w:type="page"/>
      </w:r>
    </w:p>
    <w:p w:rsidR="00BC4EC1" w:rsidRDefault="00BC4EC1" w:rsidP="00BC4EC1">
      <w:pPr>
        <w:pStyle w:val="FigureandTableTitle"/>
      </w:pPr>
      <w:r w:rsidRPr="008021A1">
        <w:t xml:space="preserve">Figure </w:t>
      </w:r>
      <w:r>
        <w:fldChar w:fldCharType="begin"/>
      </w:r>
      <w:r>
        <w:instrText xml:space="preserve"> SEQ Figure \* ARABIC </w:instrText>
      </w:r>
      <w:r>
        <w:fldChar w:fldCharType="separate"/>
      </w:r>
      <w:r w:rsidR="004C37C5">
        <w:t>13</w:t>
      </w:r>
      <w:r>
        <w:fldChar w:fldCharType="end"/>
      </w:r>
      <w:r>
        <w:t xml:space="preserve">. Share of Linguistically Isolated LEP/NEP Households in the Greater DC Area, </w:t>
      </w:r>
      <w:r>
        <w:br/>
        <w:t xml:space="preserve">by Language </w:t>
      </w:r>
    </w:p>
    <w:p w:rsidR="00BC4EC1" w:rsidRDefault="00130D4E" w:rsidP="00BC4EC1">
      <w:pPr>
        <w:pStyle w:val="FigureandTableNotes"/>
        <w:rPr>
          <w:i/>
        </w:rPr>
      </w:pPr>
      <w:r>
        <w:rPr>
          <w:bCs w:val="0"/>
          <w:noProof/>
        </w:rPr>
        <w:drawing>
          <wp:anchor distT="0" distB="0" distL="120396" distR="114300" simplePos="0" relativeHeight="251663872" behindDoc="0" locked="0" layoutInCell="1" allowOverlap="0" wp14:anchorId="724F2711" wp14:editId="619AA94A">
            <wp:simplePos x="0" y="0"/>
            <wp:positionH relativeFrom="column">
              <wp:posOffset>-91059</wp:posOffset>
            </wp:positionH>
            <wp:positionV relativeFrom="paragraph">
              <wp:posOffset>91440</wp:posOffset>
            </wp:positionV>
            <wp:extent cx="5943600" cy="3655695"/>
            <wp:effectExtent l="0" t="0" r="0" b="1905"/>
            <wp:wrapTopAndBottom/>
            <wp:docPr id="1"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BC4EC1" w:rsidRPr="008021A1">
        <w:rPr>
          <w:i/>
        </w:rPr>
        <w:t xml:space="preserve"> </w:t>
      </w:r>
    </w:p>
    <w:p w:rsidR="00BC4EC1" w:rsidRDefault="00BC4EC1" w:rsidP="00BC4EC1">
      <w:pPr>
        <w:pStyle w:val="FigureandTableNotes"/>
      </w:pPr>
      <w:r w:rsidRPr="008021A1">
        <w:rPr>
          <w:i/>
        </w:rPr>
        <w:t xml:space="preserve">Source: </w:t>
      </w:r>
      <w:r w:rsidRPr="008021A1">
        <w:t xml:space="preserve">2012 </w:t>
      </w:r>
      <w:r>
        <w:t>three</w:t>
      </w:r>
      <w:r w:rsidRPr="008021A1">
        <w:t>-year public</w:t>
      </w:r>
      <w:r>
        <w:t>-</w:t>
      </w:r>
      <w:r w:rsidRPr="008021A1">
        <w:t>use microdata from the American Community Survey, accessed through IPUMS</w:t>
      </w:r>
      <w:r>
        <w:t xml:space="preserve"> (</w:t>
      </w:r>
      <w:proofErr w:type="spellStart"/>
      <w:r>
        <w:t>Ruggles</w:t>
      </w:r>
      <w:proofErr w:type="spellEnd"/>
      <w:r>
        <w:t xml:space="preserve"> et al. 2010).</w:t>
      </w:r>
    </w:p>
    <w:p w:rsidR="00BC4EC1" w:rsidRDefault="00BC4EC1" w:rsidP="00BC4EC1">
      <w:pPr>
        <w:pStyle w:val="BodyTextFirstIndent"/>
      </w:pPr>
      <w:r w:rsidRPr="00C24AEA">
        <w:t xml:space="preserve">As these data show, LEP/NEP individuals in </w:t>
      </w:r>
      <w:r>
        <w:t>the District</w:t>
      </w:r>
      <w:r w:rsidRPr="00C24AEA">
        <w:t xml:space="preserve"> and the greater DC area come from </w:t>
      </w:r>
      <w:r>
        <w:t xml:space="preserve">various </w:t>
      </w:r>
      <w:r w:rsidRPr="00C24AEA">
        <w:t xml:space="preserve">countries, speak </w:t>
      </w:r>
      <w:r>
        <w:t xml:space="preserve">various </w:t>
      </w:r>
      <w:r w:rsidRPr="00C24AEA">
        <w:t xml:space="preserve">languages, and </w:t>
      </w:r>
      <w:r>
        <w:t xml:space="preserve">have </w:t>
      </w:r>
      <w:r w:rsidRPr="00C24AEA">
        <w:t>vary</w:t>
      </w:r>
      <w:r>
        <w:t>ing</w:t>
      </w:r>
      <w:r w:rsidRPr="00C24AEA">
        <w:t xml:space="preserve"> socioeconomic and household characteristics. As a result, different agencies across DC are working to meet different language needs, depending on the characteristics of their particular client population. Schools that interact with LEP/NEP parents may need to accommodate different language needs than public benefits administrators </w:t>
      </w:r>
      <w:r>
        <w:t xml:space="preserve">that </w:t>
      </w:r>
      <w:r w:rsidRPr="00C24AEA">
        <w:t xml:space="preserve">serve low-income families. </w:t>
      </w:r>
      <w:r>
        <w:t xml:space="preserve">The next section </w:t>
      </w:r>
      <w:r w:rsidRPr="00C24AEA">
        <w:t>outline</w:t>
      </w:r>
      <w:r>
        <w:t>s</w:t>
      </w:r>
      <w:r w:rsidRPr="00C24AEA">
        <w:t xml:space="preserve"> some of the successes and challenges in meeting these diverse language needs to date.</w:t>
      </w:r>
    </w:p>
    <w:p w:rsidR="00BC4EC1" w:rsidRPr="00394264" w:rsidRDefault="00BC4EC1" w:rsidP="00BC4EC1">
      <w:pPr>
        <w:pStyle w:val="Heading1"/>
      </w:pPr>
      <w:bookmarkStart w:id="14" w:name="_Toc384741716"/>
      <w:r w:rsidRPr="000817BE">
        <w:t xml:space="preserve">Navigating </w:t>
      </w:r>
      <w:r>
        <w:t>the Implementation of Language Access: Accomplishments and Challenges</w:t>
      </w:r>
      <w:bookmarkEnd w:id="14"/>
    </w:p>
    <w:p w:rsidR="00BC4EC1" w:rsidRPr="00951C59" w:rsidRDefault="00BC4EC1" w:rsidP="00BC4EC1">
      <w:pPr>
        <w:pStyle w:val="BodyText"/>
        <w:rPr>
          <w:rFonts w:ascii="Calibri" w:hAnsi="Calibri"/>
        </w:rPr>
      </w:pPr>
      <w:r w:rsidRPr="00C30769">
        <w:t>Washington</w:t>
      </w:r>
      <w:r>
        <w:t>,</w:t>
      </w:r>
      <w:r w:rsidRPr="00C30769">
        <w:t xml:space="preserve"> DC</w:t>
      </w:r>
      <w:r>
        <w:t>,</w:t>
      </w:r>
      <w:r w:rsidRPr="00C30769">
        <w:t xml:space="preserve"> has a complex Language Access Program that is now implemented </w:t>
      </w:r>
      <w:r>
        <w:t>(</w:t>
      </w:r>
      <w:r w:rsidRPr="00C30769">
        <w:t>at varying funding and compliance</w:t>
      </w:r>
      <w:r>
        <w:t xml:space="preserve"> </w:t>
      </w:r>
      <w:r w:rsidRPr="00C30769">
        <w:t>levels</w:t>
      </w:r>
      <w:r>
        <w:t>)</w:t>
      </w:r>
      <w:r w:rsidRPr="00C30769">
        <w:t xml:space="preserve"> in 34 agencies. </w:t>
      </w:r>
      <w:r>
        <w:t xml:space="preserve">Agency </w:t>
      </w:r>
      <w:r w:rsidRPr="00C30769">
        <w:t xml:space="preserve">efforts are coordinated, monitored, and enforced through the Office of Human Rights, which has evolved its nuanced approach considerably over the decade. The program has made significant strides in identifying, serving, and monitoring the diverse language needs presented by the public in a challenging fiscal and institutional climate. The city has achieved successes and faces continued challenges on a wide range of </w:t>
      </w:r>
      <w:r w:rsidRPr="002E0369">
        <w:t xml:space="preserve">issues: public awareness of language access services, the collection of accurate tracking </w:t>
      </w:r>
      <w:r w:rsidRPr="00CF067E">
        <w:t xml:space="preserve">data on </w:t>
      </w:r>
      <w:r w:rsidRPr="002E0369">
        <w:t xml:space="preserve">needs and service use, </w:t>
      </w:r>
      <w:r w:rsidRPr="00CF067E">
        <w:t>the an</w:t>
      </w:r>
      <w:r w:rsidRPr="00FB0C49">
        <w:t xml:space="preserve">alysis of diverse </w:t>
      </w:r>
      <w:r w:rsidRPr="001D70A0">
        <w:t xml:space="preserve">data </w:t>
      </w:r>
      <w:r w:rsidRPr="00190E7E">
        <w:t xml:space="preserve">sources </w:t>
      </w:r>
      <w:r w:rsidRPr="00CE09ED">
        <w:t xml:space="preserve">to inform policy and planning, </w:t>
      </w:r>
      <w:r>
        <w:t>constraints on available demographic measures</w:t>
      </w:r>
      <w:r w:rsidRPr="001D70A0">
        <w:t xml:space="preserve">, </w:t>
      </w:r>
      <w:r w:rsidRPr="00190E7E">
        <w:t xml:space="preserve">training of District personnel and </w:t>
      </w:r>
      <w:r w:rsidRPr="00CE09ED">
        <w:t xml:space="preserve">staffing of language access duties, </w:t>
      </w:r>
      <w:r w:rsidRPr="00DA12FA">
        <w:t xml:space="preserve">the continued development and improvement of translation </w:t>
      </w:r>
      <w:r w:rsidRPr="001D70A0">
        <w:t xml:space="preserve">and </w:t>
      </w:r>
      <w:r w:rsidRPr="00190E7E">
        <w:t xml:space="preserve">interpretation </w:t>
      </w:r>
      <w:r w:rsidRPr="00CE09ED">
        <w:t xml:space="preserve">services, coordination across </w:t>
      </w:r>
      <w:r w:rsidRPr="00DA12FA">
        <w:t xml:space="preserve">agencies, the will and support of agency leadership, monitoring and </w:t>
      </w:r>
      <w:r w:rsidRPr="00AB3898">
        <w:t>reporting, and the enforcement of compliance.</w:t>
      </w:r>
    </w:p>
    <w:p w:rsidR="00BC4EC1" w:rsidRPr="000817BE" w:rsidRDefault="00BC4EC1" w:rsidP="00BC4EC1">
      <w:pPr>
        <w:pStyle w:val="Heading2"/>
      </w:pPr>
      <w:bookmarkStart w:id="15" w:name="_Toc384741717"/>
      <w:r w:rsidRPr="000817BE">
        <w:t>Identifying Language Needs</w:t>
      </w:r>
      <w:bookmarkEnd w:id="15"/>
    </w:p>
    <w:p w:rsidR="00BC4EC1" w:rsidRPr="00D36874" w:rsidRDefault="00BC4EC1" w:rsidP="00BC4EC1">
      <w:pPr>
        <w:pStyle w:val="Heading3"/>
      </w:pPr>
      <w:r w:rsidRPr="00D36874">
        <w:t>Public Awareness of Language Access Services</w:t>
      </w:r>
    </w:p>
    <w:p w:rsidR="00BC4EC1" w:rsidRDefault="00BC4EC1" w:rsidP="00BC4EC1">
      <w:pPr>
        <w:pStyle w:val="BodyText"/>
      </w:pPr>
      <w:r>
        <w:t>Although agencies are required to analyze multiple data sources to inform their assessment of their clients’ language needs, usage data play a key role. Usage data reflect only those encounters with clients who have come forward and presented language access needs. For this reason, public engagement to educate the LEP/NEP community about their language access rights and the services available is critical. Public awareness of services is the foundation of any effective program targeted to hard-to-reach populations.</w:t>
      </w:r>
    </w:p>
    <w:p w:rsidR="00BC4EC1" w:rsidRDefault="00BC4EC1" w:rsidP="00BC4EC1">
      <w:pPr>
        <w:pStyle w:val="BodyTextFirstIndent"/>
      </w:pPr>
      <w:r>
        <w:t xml:space="preserve">Interviewees largely agreed that public awareness of DC’s language access resources has increased over the past decade. Most interviewees reported their belief that members of the public are aware of their rights under the Language Access Act and the language access services available in different agencies. Some interviewees expressed concern, however, that further public education is necessary, particularly in the African community. </w:t>
      </w:r>
      <w:r w:rsidRPr="00C05EE4">
        <w:t>Spanish and Asian language groups have a longer history of organizational representation and advocacy in the District and, therefore, may be better informed and represented.</w:t>
      </w:r>
    </w:p>
    <w:p w:rsidR="00BC4EC1" w:rsidRDefault="00BC4EC1" w:rsidP="00BC4EC1">
      <w:pPr>
        <w:pStyle w:val="BodyTextFirstIndent"/>
      </w:pPr>
      <w:r>
        <w:t>P</w:t>
      </w:r>
      <w:r w:rsidRPr="00D503CC">
        <w:t xml:space="preserve">ublic education efforts have relied on initiatives by agencies, the </w:t>
      </w:r>
      <w:r>
        <w:t>m</w:t>
      </w:r>
      <w:r w:rsidRPr="00D503CC">
        <w:t xml:space="preserve">ayor’s </w:t>
      </w:r>
      <w:r>
        <w:t>constituent o</w:t>
      </w:r>
      <w:r w:rsidRPr="00D503CC">
        <w:t>ffices, and the DCLAC</w:t>
      </w:r>
      <w:r>
        <w:t xml:space="preserve"> (and MLOV), as well as OHR itself</w:t>
      </w:r>
      <w:r w:rsidRPr="00D503CC">
        <w:t>.</w:t>
      </w:r>
      <w:r>
        <w:t xml:space="preserve"> </w:t>
      </w:r>
      <w:r w:rsidRPr="00D503CC">
        <w:t xml:space="preserve">The </w:t>
      </w:r>
      <w:r>
        <w:t>m</w:t>
      </w:r>
      <w:r w:rsidRPr="00D503CC">
        <w:t xml:space="preserve">ayor’s </w:t>
      </w:r>
      <w:r>
        <w:t>constituent o</w:t>
      </w:r>
      <w:r w:rsidRPr="00D503CC">
        <w:t xml:space="preserve">ffices </w:t>
      </w:r>
      <w:r>
        <w:t>play an important</w:t>
      </w:r>
      <w:r w:rsidRPr="00D503CC">
        <w:t xml:space="preserve"> liaison role for individual residents, often</w:t>
      </w:r>
      <w:r>
        <w:t xml:space="preserve"> referring or connecting individuals to services </w:t>
      </w:r>
      <w:r w:rsidRPr="00D503CC">
        <w:t xml:space="preserve">and following up on </w:t>
      </w:r>
      <w:r>
        <w:t>specific instances of barriers to translation or interpretation</w:t>
      </w:r>
      <w:r w:rsidRPr="00D503CC">
        <w:t xml:space="preserve"> on behalf of individuals. Immigrant-serving CBOs also take on this role, linking individuals to </w:t>
      </w:r>
      <w:r>
        <w:t>District</w:t>
      </w:r>
      <w:r w:rsidRPr="00D503CC">
        <w:t xml:space="preserve"> services</w:t>
      </w:r>
      <w:r>
        <w:t xml:space="preserve"> and legal-aid organizations supporting victims of language access violations</w:t>
      </w:r>
      <w:r w:rsidRPr="00D503CC">
        <w:t>.</w:t>
      </w:r>
      <w:r>
        <w:t xml:space="preserve"> </w:t>
      </w:r>
    </w:p>
    <w:p w:rsidR="00BC4EC1" w:rsidRDefault="00BC4EC1" w:rsidP="00BC4EC1">
      <w:pPr>
        <w:pStyle w:val="Heading3"/>
      </w:pPr>
      <w:r w:rsidRPr="000817BE">
        <w:t xml:space="preserve">Tracking Language Access Needs and </w:t>
      </w:r>
      <w:r>
        <w:t xml:space="preserve">Services </w:t>
      </w:r>
      <w:r w:rsidRPr="000817BE">
        <w:t xml:space="preserve">Use </w:t>
      </w:r>
    </w:p>
    <w:p w:rsidR="00BC4EC1" w:rsidRDefault="00BC4EC1" w:rsidP="00BC4EC1">
      <w:pPr>
        <w:pStyle w:val="BodyText"/>
      </w:pPr>
      <w:r>
        <w:t xml:space="preserve">Documenting clients’ language needs as well as their use of multilingual services is crucial from both a user and a management perspective. Documenting the language need of a client with language barriers on first contact ensures that staff are aware and prepared to manage the client’s particular needs in subsequent encounters. Tracking client need and use is also critical for producing data to inform Language Access Coordinators, OHR, and other stakeholders. </w:t>
      </w:r>
    </w:p>
    <w:p w:rsidR="00BC4EC1" w:rsidRDefault="00BC4EC1" w:rsidP="00BC4EC1">
      <w:pPr>
        <w:pStyle w:val="BodyTextFirstIndent"/>
      </w:pPr>
      <w:r>
        <w:t xml:space="preserve">Interviewees agreed that some agencies have made progress on tracking data. Improvements include adding language need fields to case management data systems, and increasing employee training and awareness of the importance of documenting language needs. </w:t>
      </w:r>
      <w:r w:rsidRPr="00EA2491">
        <w:t>Several government interviewees reported that after years of work, they had managed to create more cohesive data tracking systems.</w:t>
      </w:r>
      <w:r>
        <w:rPr>
          <w:i/>
        </w:rPr>
        <w:t xml:space="preserve"> </w:t>
      </w:r>
      <w:r>
        <w:t>OHR has been working with agencies to continue improving data tracking, but highlights the issue as a major implementation gap in its most recent compliance report; a recent study with DCL</w:t>
      </w:r>
      <w:r w:rsidRPr="00C62725">
        <w:t xml:space="preserve">AC input </w:t>
      </w:r>
      <w:r>
        <w:t xml:space="preserve">makes the same point </w:t>
      </w:r>
      <w:r w:rsidRPr="00C62725">
        <w:t xml:space="preserve">(OHR 2013; </w:t>
      </w:r>
      <w:r w:rsidRPr="0022206C">
        <w:t xml:space="preserve">American University Washington College of Law Immigrant Justice Clinic </w:t>
      </w:r>
      <w:r w:rsidRPr="00C62725">
        <w:t>2012).</w:t>
      </w:r>
      <w:r w:rsidRPr="00C62725">
        <w:rPr>
          <w:rStyle w:val="EndnoteReference"/>
          <w:rFonts w:ascii="Calibri" w:hAnsi="Calibri"/>
        </w:rPr>
        <w:endnoteReference w:id="18"/>
      </w:r>
      <w:r w:rsidRPr="00C62725">
        <w:t xml:space="preserve"> </w:t>
      </w:r>
      <w:r>
        <w:t xml:space="preserve">Ensuring </w:t>
      </w:r>
      <w:r w:rsidRPr="00C62725">
        <w:t>that all employees consistently offer and document needs is an ongoing challenge; field</w:t>
      </w:r>
      <w:r w:rsidR="00401F91">
        <w:t>-</w:t>
      </w:r>
      <w:r w:rsidRPr="00C62725">
        <w:t>testing results indicate</w:t>
      </w:r>
      <w:r>
        <w:t xml:space="preserve"> </w:t>
      </w:r>
      <w:r>
        <w:t>significant gaps in consistent offering of language access services by frontline employees. Encounters in which language access services are not offered doubtlessly also go unreported, leading to an underestimation of need. In addition, some LACs are still receiving user data in inconsistent formats across different units in agencies and suspect that not all bilingual encounters are reported.</w:t>
      </w:r>
    </w:p>
    <w:p w:rsidR="00BC4EC1" w:rsidRPr="00C05EE4" w:rsidRDefault="00BC4EC1" w:rsidP="00BC4EC1">
      <w:pPr>
        <w:pStyle w:val="BodyTextFirstIndent"/>
        <w:rPr>
          <w:i/>
        </w:rPr>
      </w:pPr>
      <w:r>
        <w:t xml:space="preserve">Some interviews also cited self-identification by users as a challenge to tracking and serving needs. Not all those who might benefit from multilingual resources are willing to identify with a non-English language need; an individual may insist on communicating in English despite difficulties. Distrust may be another factor; </w:t>
      </w:r>
      <w:r w:rsidRPr="00F153F1">
        <w:t xml:space="preserve">individuals may not want to be identified as </w:t>
      </w:r>
      <w:r>
        <w:t>LEP or NEP</w:t>
      </w:r>
      <w:r w:rsidRPr="00F153F1">
        <w:t xml:space="preserve"> because </w:t>
      </w:r>
      <w:r>
        <w:t xml:space="preserve">they </w:t>
      </w:r>
      <w:r w:rsidRPr="00F153F1">
        <w:t xml:space="preserve">fear discrimination </w:t>
      </w:r>
      <w:r>
        <w:t>or possible attention to immigration</w:t>
      </w:r>
      <w:r w:rsidRPr="00F153F1">
        <w:t xml:space="preserve"> status. </w:t>
      </w:r>
    </w:p>
    <w:p w:rsidR="00BC4EC1" w:rsidRPr="000817BE" w:rsidRDefault="00BC4EC1" w:rsidP="00BC4EC1">
      <w:pPr>
        <w:pStyle w:val="Heading3"/>
      </w:pPr>
      <w:r w:rsidRPr="000817BE">
        <w:t>Analysis of Data to Inform Policy</w:t>
      </w:r>
    </w:p>
    <w:p w:rsidR="00BC4EC1" w:rsidRDefault="00BC4EC1" w:rsidP="00BC4EC1">
      <w:pPr>
        <w:pStyle w:val="BodyText"/>
      </w:pPr>
      <w:r>
        <w:t xml:space="preserve">LACs are required, with the assistance of OHR and other stakeholders, to analyze their user data as well as other sources of demographic statistics in order to inform decisions about which languages to support and how to do so most effectively. Effective analysis of data is important for evaluating the effectiveness of existing services, anticipating emerging unmet needs, and making management and budgetary decisions for targeting limited resources. Full support of all language needs is limited not only by the resource and other constraints on </w:t>
      </w:r>
      <w:r w:rsidRPr="00C05EE4">
        <w:rPr>
          <w:i/>
        </w:rPr>
        <w:t>providing</w:t>
      </w:r>
      <w:r>
        <w:t xml:space="preserve"> </w:t>
      </w:r>
      <w:r w:rsidRPr="00C05EE4">
        <w:rPr>
          <w:i/>
        </w:rPr>
        <w:t>service</w:t>
      </w:r>
      <w:r>
        <w:t xml:space="preserve"> but also the data collection and analysis required to </w:t>
      </w:r>
      <w:r w:rsidRPr="00C05EE4">
        <w:rPr>
          <w:i/>
        </w:rPr>
        <w:t>identify needs</w:t>
      </w:r>
      <w:r>
        <w:t>.</w:t>
      </w:r>
    </w:p>
    <w:p w:rsidR="00BC4EC1" w:rsidRDefault="00BC4EC1" w:rsidP="00BC4EC1">
      <w:pPr>
        <w:pStyle w:val="BodyTextFirstIndent"/>
      </w:pPr>
      <w:r>
        <w:t xml:space="preserve">Efforts to be responsive to changing needs are ongoing. Several interviews referenced an initial (and still dominant) focus on Spanish as the default language, especially for document translations, and a more recent recognition and addition of Amharic as the second-most commonly encountered language in some agencies. </w:t>
      </w:r>
      <w:r w:rsidRPr="00EA2491">
        <w:t xml:space="preserve">Anecdotally, one government interviewee described the response of an agency to a change in </w:t>
      </w:r>
      <w:r>
        <w:t>l</w:t>
      </w:r>
      <w:r w:rsidRPr="00EA2491">
        <w:t xml:space="preserve">anguage </w:t>
      </w:r>
      <w:r>
        <w:t>l</w:t>
      </w:r>
      <w:r w:rsidRPr="00EA2491">
        <w:t xml:space="preserve">ine usage. The agency is following up with additional research and recognition of Tigrinya </w:t>
      </w:r>
      <w:r>
        <w:t xml:space="preserve">as </w:t>
      </w:r>
      <w:r w:rsidRPr="00EA2491">
        <w:t>a newly emerging language.</w:t>
      </w:r>
      <w:r>
        <w:rPr>
          <w:rStyle w:val="EndnoteReference"/>
        </w:rPr>
        <w:endnoteReference w:id="19"/>
      </w:r>
      <w:r>
        <w:t xml:space="preserve"> Advocates have proposed other new language needs, such as Tagalog, Arabic, and African languages such as </w:t>
      </w:r>
      <w:proofErr w:type="spellStart"/>
      <w:r>
        <w:t>Kru</w:t>
      </w:r>
      <w:proofErr w:type="spellEnd"/>
      <w:r>
        <w:t xml:space="preserve"> or Ibo. </w:t>
      </w:r>
    </w:p>
    <w:p w:rsidR="00BC4EC1" w:rsidRDefault="00BC4EC1" w:rsidP="00BC4EC1">
      <w:pPr>
        <w:pStyle w:val="BodyTextFirstIndent"/>
      </w:pPr>
      <w:r>
        <w:t xml:space="preserve">Interviewees agreed that LACs are still facing significant challenges in collecting and analyzing language needs data. A recent study criticized the weakness of agency research and analysis to determine which language groups are meeting the 3 percent or 500-person </w:t>
      </w:r>
      <w:r w:rsidRPr="00C62725">
        <w:t>benchmark (AU WCL IJC 2012).</w:t>
      </w:r>
      <w:r>
        <w:t xml:space="preserve"> Several interviewees discussed the complexity of assessing language needs and analyzing performance usage data and demographic data, including addressing concerns about the accurate representation of the size of specific communities in Census and other statistics. The mayor’s constituent offices and OHR were often mentioned as information sources, but LACs did not highlight the DCLAC’s role in informing decisions, which is surprising given the role ascribed to DCLAC in the language of the Act. </w:t>
      </w:r>
    </w:p>
    <w:p w:rsidR="00BC4EC1" w:rsidRDefault="00BC4EC1" w:rsidP="00BC4EC1">
      <w:pPr>
        <w:pStyle w:val="BodyTextFirstIndent"/>
      </w:pPr>
      <w:r>
        <w:t xml:space="preserve">More fundamentally, interviews revealed that some stakeholders were ignorant of the agency-level requirements for determining language needs. Almost all interviewees described the Language Access Act as requiring translation into the specific “core list” of languages, listed as five, six, or seven (depending on the interviewee). This reflects an institutionalization of the six languages initially chosen at the launch of the implementation period, but which are actually not required by the Act unless they meet the 3 percent or 500-person benchmark for each specific agency. Many stakeholders, including OHR, have recommended that the list be revisited to ensure that it is accurately covering the most important current language needs of client and potential </w:t>
      </w:r>
      <w:r w:rsidRPr="007C2ADC">
        <w:t xml:space="preserve">client </w:t>
      </w:r>
      <w:r w:rsidRPr="00C62725">
        <w:t>populations (OHR 2011).</w:t>
      </w:r>
      <w:r>
        <w:t xml:space="preserve"> </w:t>
      </w:r>
    </w:p>
    <w:p w:rsidR="00BC4EC1" w:rsidRPr="0083738A" w:rsidRDefault="00BC4EC1" w:rsidP="00BC4EC1">
      <w:pPr>
        <w:pStyle w:val="Heading3"/>
      </w:pPr>
      <w:r w:rsidRPr="0083738A">
        <w:t xml:space="preserve">Constraints on Available Demographic Measures </w:t>
      </w:r>
    </w:p>
    <w:p w:rsidR="00BC4EC1" w:rsidRPr="0083738A" w:rsidRDefault="00BC4EC1" w:rsidP="00BC4EC1">
      <w:pPr>
        <w:pStyle w:val="BodyText"/>
      </w:pPr>
      <w:r>
        <w:t>Some interviewees expressed</w:t>
      </w:r>
      <w:r w:rsidRPr="0083738A">
        <w:t xml:space="preserve"> concern that </w:t>
      </w:r>
      <w:r>
        <w:t>c</w:t>
      </w:r>
      <w:r w:rsidRPr="0083738A">
        <w:t>ensus data undercount members of certain national origin or language groups and</w:t>
      </w:r>
      <w:r>
        <w:t>,</w:t>
      </w:r>
      <w:r w:rsidRPr="0083738A">
        <w:t xml:space="preserve"> particularly</w:t>
      </w:r>
      <w:r>
        <w:t>,</w:t>
      </w:r>
      <w:r w:rsidRPr="0083738A">
        <w:t xml:space="preserve"> LEP</w:t>
      </w:r>
      <w:r>
        <w:t>/NEP</w:t>
      </w:r>
      <w:r w:rsidRPr="0083738A">
        <w:t xml:space="preserve"> individuals or undocumented immigrants. </w:t>
      </w:r>
      <w:r>
        <w:t xml:space="preserve">Many of the interviewees described this as a limitation for assessing language needs. </w:t>
      </w:r>
      <w:r w:rsidRPr="0083738A">
        <w:t xml:space="preserve">As described in detail </w:t>
      </w:r>
      <w:r>
        <w:t xml:space="preserve">earlier </w:t>
      </w:r>
      <w:r w:rsidRPr="0083738A">
        <w:t xml:space="preserve">and in </w:t>
      </w:r>
      <w:r>
        <w:t>a</w:t>
      </w:r>
      <w:r w:rsidRPr="0083738A">
        <w:t xml:space="preserve">ppendix </w:t>
      </w:r>
      <w:r>
        <w:t>A</w:t>
      </w:r>
      <w:r w:rsidRPr="0083738A">
        <w:t xml:space="preserve">, the US Census Bureau uses </w:t>
      </w:r>
      <w:r>
        <w:t xml:space="preserve">several </w:t>
      </w:r>
      <w:r w:rsidRPr="0083738A">
        <w:t>tools in order to attempt to reach a sample of Americans that is representative, including immigrants and those with limited English proficiency. However, even if the Census Bureau can reach a fully representative sample of individuals, the sample size is only so big</w:t>
      </w:r>
      <w:r>
        <w:t>;</w:t>
      </w:r>
      <w:r w:rsidRPr="0083738A">
        <w:t xml:space="preserve"> and</w:t>
      </w:r>
      <w:r>
        <w:t>,</w:t>
      </w:r>
      <w:r w:rsidRPr="0083738A">
        <w:t xml:space="preserve"> in a jurisdiction as small as Washington, DC, it may be difficult to estimate language needs among </w:t>
      </w:r>
      <w:r>
        <w:t xml:space="preserve">small </w:t>
      </w:r>
      <w:r w:rsidRPr="0083738A">
        <w:t xml:space="preserve">subpopulations. For example, </w:t>
      </w:r>
      <w:r>
        <w:t>c</w:t>
      </w:r>
      <w:r w:rsidRPr="0083738A">
        <w:t xml:space="preserve">ensus data do not have large enough sample sizes to permit reliable estimates of top language needs among poor households or among the elderly in </w:t>
      </w:r>
      <w:r>
        <w:t>the District</w:t>
      </w:r>
      <w:r w:rsidRPr="0083738A">
        <w:t xml:space="preserve">. Such subpopulations may access certain city services at high rates, leading to a strong policy imperative to collect additional sources of data on these groups. These limitations of the demographic data highlight the need for stakeholders and District government to consider the multiple </w:t>
      </w:r>
      <w:r>
        <w:t xml:space="preserve">data </w:t>
      </w:r>
      <w:r w:rsidRPr="0083738A">
        <w:t xml:space="preserve">sources available, including user data </w:t>
      </w:r>
      <w:r>
        <w:t xml:space="preserve">as well as </w:t>
      </w:r>
      <w:r w:rsidRPr="0083738A">
        <w:t>other sources of information that may reveal difficult</w:t>
      </w:r>
      <w:r>
        <w:t>-</w:t>
      </w:r>
      <w:r w:rsidRPr="0083738A">
        <w:t>to</w:t>
      </w:r>
      <w:r>
        <w:t>-</w:t>
      </w:r>
      <w:r w:rsidRPr="0083738A">
        <w:t>capture community needs.</w:t>
      </w:r>
    </w:p>
    <w:p w:rsidR="00BC4EC1" w:rsidRPr="000817BE" w:rsidRDefault="00BC4EC1" w:rsidP="00BC4EC1">
      <w:pPr>
        <w:pStyle w:val="Heading2"/>
      </w:pPr>
      <w:bookmarkStart w:id="16" w:name="_Toc384741718"/>
      <w:r w:rsidRPr="000817BE">
        <w:t>Serving Language Needs</w:t>
      </w:r>
      <w:bookmarkEnd w:id="16"/>
    </w:p>
    <w:p w:rsidR="00BC4EC1" w:rsidRDefault="00BC4EC1" w:rsidP="00BC4EC1">
      <w:pPr>
        <w:pStyle w:val="Heading3"/>
      </w:pPr>
      <w:r>
        <w:t>Training of District</w:t>
      </w:r>
      <w:r w:rsidRPr="000817BE">
        <w:t xml:space="preserve"> Employees</w:t>
      </w:r>
      <w:r>
        <w:t xml:space="preserve"> and Staffing of Language Access Duties</w:t>
      </w:r>
    </w:p>
    <w:p w:rsidR="00BC4EC1" w:rsidRDefault="00BC4EC1" w:rsidP="00BC4EC1">
      <w:pPr>
        <w:pStyle w:val="BodyText"/>
      </w:pPr>
      <w:r>
        <w:t>Employees of the District of Columbia are on the front lines of language access service. Face-to-face and telephone encounters are primary sites for detecting and serving language needs. Interviewees agreed that DC employees have become more aware of language access, and that trainings on both the rights of LEP/NEP clients and language access services have been effective, although challenges remain. One of the most common challenges cited is agencies’ capacity to meet language needs on top of the rest of their caseload. In high-traffic offices dealing with vulnerable, disadvantaged clients, providing language access adds more work to an already overburdened system.</w:t>
      </w:r>
    </w:p>
    <w:p w:rsidR="00BC4EC1" w:rsidRDefault="00BC4EC1" w:rsidP="00BC4EC1">
      <w:pPr>
        <w:pStyle w:val="BodyTextFirstIndent"/>
      </w:pPr>
      <w:r>
        <w:t xml:space="preserve">Increasing bilingual staff capacity would assist greatly, as several studies recommend </w:t>
      </w:r>
      <w:r w:rsidRPr="00C62725">
        <w:t>(</w:t>
      </w:r>
      <w:proofErr w:type="spellStart"/>
      <w:r w:rsidRPr="00C62725">
        <w:t>Chatlosh</w:t>
      </w:r>
      <w:proofErr w:type="spellEnd"/>
      <w:r w:rsidRPr="00C62725">
        <w:t xml:space="preserve"> </w:t>
      </w:r>
      <w:r>
        <w:t>and</w:t>
      </w:r>
      <w:r w:rsidRPr="00C62725">
        <w:t xml:space="preserve"> </w:t>
      </w:r>
      <w:proofErr w:type="spellStart"/>
      <w:r w:rsidRPr="00C62725">
        <w:t>Ayometzi</w:t>
      </w:r>
      <w:proofErr w:type="spellEnd"/>
      <w:r w:rsidRPr="00C62725">
        <w:t xml:space="preserve"> 2013; AU WCL IJC 2012).</w:t>
      </w:r>
      <w:r>
        <w:t xml:space="preserve"> Some interviewees said that finding sufficient bilingual employees is not the main barrier to filling bilingual needs, pointing instead to limited funds and DC hiring practices that make it difficult to incorporate bilingual requirements into job descriptions. Some interviewees emphasized lack of understanding or appreciation of language ability as a valuable skill that should be recruited and rewarded.</w:t>
      </w:r>
    </w:p>
    <w:p w:rsidR="00BC4EC1" w:rsidRDefault="00BC4EC1" w:rsidP="00BC4EC1">
      <w:pPr>
        <w:pStyle w:val="BodyTextFirstIndent"/>
      </w:pPr>
      <w:r>
        <w:t xml:space="preserve">LACs are given significant responsibilities and often not supported with sufficient resources at their agencies. In addition to significant reporting requirements, LACs are responsible for training, oversight, management of translations, dealing with complaints, resolution of individual cases of language access difficulties, and, in some cases, serving as the general reference person for all issues requiring bilingual support. Anecdotally, </w:t>
      </w:r>
      <w:r w:rsidRPr="00EA2491">
        <w:t xml:space="preserve">one government interviewee reported that when his agency was seeking to hire bilingual employees, he was </w:t>
      </w:r>
      <w:r>
        <w:t xml:space="preserve">asked </w:t>
      </w:r>
      <w:r w:rsidRPr="00EA2491">
        <w:t xml:space="preserve">to test the language proficiency level of applicants. </w:t>
      </w:r>
    </w:p>
    <w:p w:rsidR="00BC4EC1" w:rsidRPr="00D73EA2" w:rsidRDefault="00BC4EC1" w:rsidP="00BC4EC1">
      <w:pPr>
        <w:pStyle w:val="BodyTextFirstIndent"/>
      </w:pPr>
      <w:r>
        <w:t xml:space="preserve">In recognition of the difficulties that LACs were facing, often isolated and slowed down by bureaucratic hurdles within their agencies, OHR shifted toward a team-focused system in 2013. Under the new approach, OHR asked agencies to spread responsibility and knowledge across multiple employees. OHR now requires that each agency nominate a team of individuals from different agency functions </w:t>
      </w:r>
      <w:r w:rsidRPr="00C30769">
        <w:t>(contracts, hiring, frontline operations, language access, and others) to coordinate on that agency’s language access services and meet once annually. Several interviewees commented that this approach was preferable to the old system.</w:t>
      </w:r>
      <w:r>
        <w:t xml:space="preserve"> </w:t>
      </w:r>
    </w:p>
    <w:p w:rsidR="00BC4EC1" w:rsidRPr="000817BE" w:rsidRDefault="00BC4EC1" w:rsidP="00BC4EC1">
      <w:pPr>
        <w:pStyle w:val="Heading3"/>
      </w:pPr>
      <w:r w:rsidRPr="000817BE">
        <w:t>Language Access Materials and Services</w:t>
      </w:r>
    </w:p>
    <w:p w:rsidR="00BC4EC1" w:rsidRDefault="00BC4EC1" w:rsidP="00BC4EC1">
      <w:pPr>
        <w:pStyle w:val="BodyText"/>
      </w:pPr>
      <w:r>
        <w:t>Stakeholders agree that use of language access services has increased over the past decade, citing increased language line usage and the availability of more documents in translation. More vital documents are translated, and language line use has increased significantly in many agencies. More languages are</w:t>
      </w:r>
      <w:r w:rsidRPr="000817BE">
        <w:t xml:space="preserve"> </w:t>
      </w:r>
      <w:r>
        <w:t>also increasingly</w:t>
      </w:r>
      <w:r w:rsidRPr="000817BE">
        <w:t xml:space="preserve"> being </w:t>
      </w:r>
      <w:r>
        <w:t>covered, although Spanish is still privileged and other languages are not receiving equivalent resources in most cases</w:t>
      </w:r>
      <w:r w:rsidRPr="0052256E">
        <w:rPr>
          <w:szCs w:val="22"/>
        </w:rPr>
        <w:t xml:space="preserve">. </w:t>
      </w:r>
      <w:r w:rsidRPr="009C7207">
        <w:rPr>
          <w:szCs w:val="22"/>
        </w:rPr>
        <w:t>Spanish</w:t>
      </w:r>
      <w:r>
        <w:rPr>
          <w:szCs w:val="22"/>
        </w:rPr>
        <w:t xml:space="preserve"> </w:t>
      </w:r>
      <w:r w:rsidRPr="009C7207">
        <w:rPr>
          <w:szCs w:val="22"/>
        </w:rPr>
        <w:t>speakers are the largest single language</w:t>
      </w:r>
      <w:r>
        <w:rPr>
          <w:szCs w:val="22"/>
        </w:rPr>
        <w:t>-</w:t>
      </w:r>
      <w:r w:rsidRPr="009C7207">
        <w:rPr>
          <w:szCs w:val="22"/>
        </w:rPr>
        <w:t xml:space="preserve">need group in both the DC and metropolitan </w:t>
      </w:r>
      <w:r>
        <w:rPr>
          <w:szCs w:val="22"/>
        </w:rPr>
        <w:t xml:space="preserve">DC </w:t>
      </w:r>
      <w:r w:rsidRPr="009C7207">
        <w:rPr>
          <w:szCs w:val="22"/>
        </w:rPr>
        <w:t>populations, so resources may be proportionate to need for particular services.</w:t>
      </w:r>
      <w:r>
        <w:rPr>
          <w:szCs w:val="22"/>
        </w:rPr>
        <w:t xml:space="preserve"> Yet</w:t>
      </w:r>
      <w:r w:rsidRPr="009C7207">
        <w:rPr>
          <w:szCs w:val="22"/>
        </w:rPr>
        <w:t xml:space="preserve">, it is important that agencies not treat Spanish supports as sufficient for covering the diverse language access needs that may make up </w:t>
      </w:r>
      <w:r>
        <w:rPr>
          <w:szCs w:val="22"/>
        </w:rPr>
        <w:t xml:space="preserve">their </w:t>
      </w:r>
      <w:r w:rsidRPr="009C7207">
        <w:rPr>
          <w:szCs w:val="22"/>
        </w:rPr>
        <w:t>current and potential client base.</w:t>
      </w:r>
    </w:p>
    <w:p w:rsidR="00BC4EC1" w:rsidRDefault="00BC4EC1" w:rsidP="00BC4EC1">
      <w:pPr>
        <w:pStyle w:val="BodyTextFirstIndent"/>
      </w:pPr>
      <w:r>
        <w:t xml:space="preserve">Providing effective services still faces many challenges. Although documents may be translated, some interviewees voiced concern about quality control. Others pointed out the difficulty of maintaining updated documents. Web resources in multiple languages also require further attention, as highlighted in </w:t>
      </w:r>
      <w:r w:rsidRPr="00A50A29">
        <w:t xml:space="preserve">OHR’s recommendations in the latest </w:t>
      </w:r>
      <w:r>
        <w:t>a</w:t>
      </w:r>
      <w:r w:rsidRPr="00A50A29">
        <w:t xml:space="preserve">nnual </w:t>
      </w:r>
      <w:r>
        <w:t>c</w:t>
      </w:r>
      <w:r w:rsidRPr="00A50A29">
        <w:t xml:space="preserve">ompliance </w:t>
      </w:r>
      <w:r>
        <w:t>r</w:t>
      </w:r>
      <w:r w:rsidRPr="00A50A29">
        <w:t>eport</w:t>
      </w:r>
      <w:r>
        <w:t xml:space="preserve"> (OHR 2014). Interviewees referenced agency documents available online as well as the OHR website itself.</w:t>
      </w:r>
      <w:r w:rsidRPr="00A26243">
        <w:rPr>
          <w:rStyle w:val="EndnoteReference"/>
        </w:rPr>
        <w:endnoteReference w:id="20"/>
      </w:r>
      <w:r>
        <w:t xml:space="preserve"> Since early 2013, OHR has led an initiative to require agencies to provide multilingual access links on their agency pages; links in each of the six high-frequency languages will take users to basic descriptions of that agency’s activities as well as translated vital documents. Coordinating across agencies has been a challenge, but many of the websites have become operational. </w:t>
      </w:r>
    </w:p>
    <w:p w:rsidR="00BC4EC1" w:rsidRDefault="00BC4EC1" w:rsidP="00BC4EC1">
      <w:pPr>
        <w:pStyle w:val="BodyTextFirstIndent"/>
      </w:pPr>
      <w:r>
        <w:t>Although telephone language line usage has increased across city agencies, providing in-person bilingual interpreters may be more effective in certain situations and is certainly preferable if the resources exist. Several interviewees noted that in particularly sensitive interactions, telephone line interpretation can make clients uncomfortable and less willing to communicate; it can also lead to miscommunication, which may have consequences for clients’ understanding of requirements, deadlines, or other information. Many interviewees highlighted the need for more in-person bilingual interpretation to complement the language line resource.</w:t>
      </w:r>
    </w:p>
    <w:p w:rsidR="00BC4EC1" w:rsidRDefault="00BC4EC1" w:rsidP="00BC4EC1">
      <w:pPr>
        <w:pStyle w:val="BodyTextFirstIndent"/>
      </w:pPr>
      <w:r>
        <w:t xml:space="preserve">Many interviewees also described widespread </w:t>
      </w:r>
      <w:r w:rsidRPr="002533FD">
        <w:t>informal</w:t>
      </w:r>
      <w:r>
        <w:t xml:space="preserve"> interpretation practices, when an individual client will rely on a friend or family member to interpret, or a bilingual employee whose job description does not prescribe that function is called on to interpret or translate, raising privacy and confidentiality concerns.</w:t>
      </w:r>
      <w:r w:rsidRPr="00A05270">
        <w:rPr>
          <w:rStyle w:val="EndnoteReference"/>
        </w:rPr>
        <w:endnoteReference w:id="21"/>
      </w:r>
      <w:r>
        <w:t xml:space="preserve"> Several interviewees described Latino employees being pushed to take on interpretation duties regardless of their actual language ability. </w:t>
      </w:r>
    </w:p>
    <w:p w:rsidR="00BC4EC1" w:rsidRPr="000817BE" w:rsidRDefault="00BC4EC1" w:rsidP="00BC4EC1">
      <w:pPr>
        <w:pStyle w:val="Heading3"/>
      </w:pPr>
      <w:r w:rsidRPr="000817BE">
        <w:t>Coordination and Centralization</w:t>
      </w:r>
    </w:p>
    <w:p w:rsidR="00BC4EC1" w:rsidRDefault="00BC4EC1" w:rsidP="00BC4EC1">
      <w:pPr>
        <w:pStyle w:val="BodyText"/>
      </w:pPr>
      <w:r>
        <w:t xml:space="preserve">Best practices on municipal language access provision emphasize the benefits of centralizing resources across agencies. This could mean facilitating communication or coordination between agencies, identifying common procurement sources for translation and interpretation, centralizing data collection, or other forms of cooperation. OHR’s coordination offers a promising lead for such centralization efforts. Centralization can be a slow process, but it appears that some efforts have been effective. Many interviewees mentioned the 2012 establishment of common procurement sources for translation and interpretation providers, most describing it as a positive development (though some expressed concerns about the particular choice of providers). </w:t>
      </w:r>
    </w:p>
    <w:p w:rsidR="00BC4EC1" w:rsidRDefault="00BC4EC1" w:rsidP="00BC4EC1">
      <w:pPr>
        <w:pStyle w:val="BodyTextFirstIndent"/>
      </w:pPr>
      <w:r>
        <w:t xml:space="preserve">Some interviewees highlighted the potential for greater coordination among agencies, though the diversity of agency contexts is a challenge. Some LACs describe the quarterly meetings of all the LACs with OHR as an effective space for mutual learning, though several expressed frustration about the diversity of agencies and sometimes-mismatched needs and interest levels. To supplement the quarterly meetings, some LACs interact with other individual LAC that may be facing similar issues with specific subpopulations or working on a similar scale. </w:t>
      </w:r>
    </w:p>
    <w:p w:rsidR="00BC4EC1" w:rsidRPr="00FD1FD7" w:rsidRDefault="00BC4EC1" w:rsidP="00BC4EC1">
      <w:pPr>
        <w:pStyle w:val="Heading3"/>
      </w:pPr>
      <w:r w:rsidRPr="00FD1FD7">
        <w:t>Will and Support from Agency Leadership</w:t>
      </w:r>
    </w:p>
    <w:p w:rsidR="00BC4EC1" w:rsidRDefault="00BC4EC1" w:rsidP="00BC4EC1">
      <w:pPr>
        <w:pStyle w:val="BodyText"/>
      </w:pPr>
      <w:r w:rsidRPr="00FD1FD7">
        <w:t xml:space="preserve">Although </w:t>
      </w:r>
      <w:r>
        <w:t>l</w:t>
      </w:r>
      <w:r w:rsidRPr="00FD1FD7">
        <w:t xml:space="preserve">anguage </w:t>
      </w:r>
      <w:r>
        <w:t>a</w:t>
      </w:r>
      <w:r w:rsidRPr="00FD1FD7">
        <w:t xml:space="preserve">ccess is coordinated </w:t>
      </w:r>
      <w:r>
        <w:t xml:space="preserve">by </w:t>
      </w:r>
      <w:r w:rsidRPr="00FD1FD7">
        <w:t xml:space="preserve">the Office of Human Rights, implementation takes place in agency environments and relies on agency budgets. Although agencies </w:t>
      </w:r>
      <w:r>
        <w:t xml:space="preserve">generally </w:t>
      </w:r>
      <w:r w:rsidRPr="00FD1FD7">
        <w:t xml:space="preserve">have advanced on this issue over the </w:t>
      </w:r>
      <w:r>
        <w:t>p</w:t>
      </w:r>
      <w:r w:rsidRPr="00FD1FD7">
        <w:t xml:space="preserve">ast decade, interviewees </w:t>
      </w:r>
      <w:r>
        <w:t xml:space="preserve">revealed </w:t>
      </w:r>
      <w:r w:rsidRPr="00FD1FD7">
        <w:t xml:space="preserve">that </w:t>
      </w:r>
      <w:r>
        <w:t xml:space="preserve">language access </w:t>
      </w:r>
      <w:r w:rsidRPr="00FD1FD7">
        <w:t xml:space="preserve">is not prioritized in all agencies. </w:t>
      </w:r>
      <w:r w:rsidRPr="00DB7A04">
        <w:t xml:space="preserve">One government interviewee described feeling grateful that his agency </w:t>
      </w:r>
      <w:r>
        <w:t>d</w:t>
      </w:r>
      <w:r w:rsidRPr="00DB7A04">
        <w:t>irector prioritized the issue and delegated necessary resources, while he described other</w:t>
      </w:r>
      <w:r>
        <w:t xml:space="preserve"> effort</w:t>
      </w:r>
      <w:r w:rsidRPr="00DB7A04">
        <w:t>s as being more marginalized and less supported by their agency leadership.</w:t>
      </w:r>
    </w:p>
    <w:p w:rsidR="00BC4EC1" w:rsidRPr="008B4EFD" w:rsidRDefault="00BC4EC1" w:rsidP="00BC4EC1">
      <w:pPr>
        <w:pStyle w:val="BodyTextFirstIndent"/>
      </w:pPr>
      <w:r w:rsidRPr="008B4EFD">
        <w:t xml:space="preserve">OHR has </w:t>
      </w:r>
      <w:r>
        <w:t xml:space="preserve">made more recent efforts to foster high-level contact with agency leadership, seeking to develop stronger relationships directly between OHR and the agency directors in order to build awareness and support for language access. Recent processes of reviewing the fiscal year 2013–14 BLAPs, for example, prioritized a direct connection between OHR and directors. </w:t>
      </w:r>
    </w:p>
    <w:p w:rsidR="00BC4EC1" w:rsidRPr="000817BE" w:rsidRDefault="00BC4EC1" w:rsidP="00BC4EC1">
      <w:pPr>
        <w:pStyle w:val="Heading2"/>
      </w:pPr>
      <w:bookmarkStart w:id="17" w:name="_Toc384741719"/>
      <w:r w:rsidRPr="000817BE">
        <w:t xml:space="preserve">Monitoring </w:t>
      </w:r>
      <w:r>
        <w:t>Services</w:t>
      </w:r>
      <w:r w:rsidRPr="000817BE">
        <w:t xml:space="preserve"> Provision</w:t>
      </w:r>
      <w:bookmarkEnd w:id="17"/>
    </w:p>
    <w:p w:rsidR="00BC4EC1" w:rsidRPr="000817BE" w:rsidRDefault="00BC4EC1" w:rsidP="00BC4EC1">
      <w:pPr>
        <w:pStyle w:val="Heading3"/>
      </w:pPr>
      <w:r w:rsidRPr="000817BE">
        <w:t>Monitoring and Reporting</w:t>
      </w:r>
    </w:p>
    <w:p w:rsidR="00BC4EC1" w:rsidRDefault="00BC4EC1" w:rsidP="00BC4EC1">
      <w:pPr>
        <w:pStyle w:val="BodyText"/>
      </w:pPr>
      <w:r w:rsidRPr="000817BE">
        <w:t>OHR has changed the reporting, monitoring, and scoring process significantly over the years</w:t>
      </w:r>
      <w:r>
        <w:t xml:space="preserve">, developing an annual report that is far more detailed than that prepared by other jurisdictions with active language access programs, such as Montgomery County, MD; Arlington County, VA; or Oakland, CA. </w:t>
      </w:r>
      <w:r w:rsidRPr="000817BE">
        <w:t xml:space="preserve">OHR’s </w:t>
      </w:r>
      <w:r>
        <w:t>a</w:t>
      </w:r>
      <w:r w:rsidRPr="000817BE">
        <w:t xml:space="preserve">nnual </w:t>
      </w:r>
      <w:r>
        <w:t>c</w:t>
      </w:r>
      <w:r w:rsidRPr="000817BE">
        <w:t xml:space="preserve">ompliance </w:t>
      </w:r>
      <w:r>
        <w:t>r</w:t>
      </w:r>
      <w:r w:rsidRPr="000817BE">
        <w:t>eports evolved considerably over the years</w:t>
      </w:r>
      <w:r>
        <w:t>.</w:t>
      </w:r>
      <w:r w:rsidRPr="000817BE">
        <w:t xml:space="preserve"> </w:t>
      </w:r>
      <w:r>
        <w:t>T</w:t>
      </w:r>
      <w:r w:rsidRPr="000817BE">
        <w:t>he first one</w:t>
      </w:r>
      <w:r>
        <w:t>,</w:t>
      </w:r>
      <w:r w:rsidRPr="000817BE">
        <w:t xml:space="preserve"> in 2007</w:t>
      </w:r>
      <w:r>
        <w:t>,</w:t>
      </w:r>
      <w:r w:rsidRPr="000817BE">
        <w:t xml:space="preserve"> present</w:t>
      </w:r>
      <w:r>
        <w:t>ed</w:t>
      </w:r>
      <w:r w:rsidRPr="000817BE">
        <w:t xml:space="preserve"> only summary results</w:t>
      </w:r>
      <w:r>
        <w:t>.</w:t>
      </w:r>
      <w:r w:rsidRPr="000817BE">
        <w:t xml:space="preserve"> </w:t>
      </w:r>
      <w:r>
        <w:t xml:space="preserve">In later years, under different language access directors, the reports </w:t>
      </w:r>
      <w:r w:rsidRPr="000817BE">
        <w:t>develop</w:t>
      </w:r>
      <w:r>
        <w:t xml:space="preserve">ed </w:t>
      </w:r>
      <w:r w:rsidRPr="000817BE">
        <w:t>a more detailed scoring mechanism for measuring compliance. OHR add</w:t>
      </w:r>
      <w:r>
        <w:t xml:space="preserve">ed a field-testing component </w:t>
      </w:r>
      <w:r w:rsidRPr="000817BE">
        <w:t xml:space="preserve">in </w:t>
      </w:r>
      <w:r>
        <w:t>fiscal year 2009</w:t>
      </w:r>
      <w:r w:rsidRPr="000817BE">
        <w:t xml:space="preserve"> to </w:t>
      </w:r>
      <w:r>
        <w:t>more closely monitor agencies (OHR 2009)</w:t>
      </w:r>
      <w:r w:rsidRPr="000817BE">
        <w:t xml:space="preserve"> </w:t>
      </w:r>
      <w:r>
        <w:t>and modified the scoring methodology in fiscal year 2012 after a review of rating and assessment methods. The annual compliance report now includes a narrative-based scorecard for each agency (OHR 2013),</w:t>
      </w:r>
      <w:r w:rsidRPr="008510B5">
        <w:rPr>
          <w:rStyle w:val="EndnoteReference"/>
          <w:rFonts w:ascii="Calibri" w:hAnsi="Calibri"/>
        </w:rPr>
        <w:t xml:space="preserve"> </w:t>
      </w:r>
      <w:r>
        <w:t>designed to provide more transparency and more useful guidance.</w:t>
      </w:r>
    </w:p>
    <w:p w:rsidR="00BC4EC1" w:rsidRDefault="00BC4EC1" w:rsidP="00BC4EC1">
      <w:pPr>
        <w:pStyle w:val="BodyTextFirstIndent"/>
      </w:pPr>
      <w:r>
        <w:t>The BLAPs were also redesigned in two phases, initially in 2011, under a new director, to move away from a narrative-based approach that was producing inconsistent results across agencies. Several LACs were convened on a number of occasions to provide their feedback on the new reporting format. Under a new director in 2013, the BLAPs were revised again, to approach a more survey-like approach with multiple-choice options and checklists.</w:t>
      </w:r>
    </w:p>
    <w:p w:rsidR="00BC4EC1" w:rsidRPr="00DC2177" w:rsidRDefault="00BC4EC1" w:rsidP="00BC4EC1">
      <w:pPr>
        <w:pStyle w:val="BodyTextFirstIndent"/>
      </w:pPr>
      <w:r>
        <w:t>Several interviewees objected to the amount of detail required in the BLAPs and questioned the value of the reporting. Some expressed concerns about the amount of time required to prepare the reports and wondered about the added value of providing the required information other than for OHR reporting.</w:t>
      </w:r>
    </w:p>
    <w:p w:rsidR="00BC4EC1" w:rsidRPr="000817BE" w:rsidRDefault="00BC4EC1" w:rsidP="00BC4EC1">
      <w:pPr>
        <w:pStyle w:val="Heading3"/>
      </w:pPr>
      <w:r w:rsidRPr="000817BE">
        <w:t>Enforcing Compliance</w:t>
      </w:r>
    </w:p>
    <w:p w:rsidR="00BC4EC1" w:rsidRDefault="00BC4EC1" w:rsidP="00BC4EC1">
      <w:pPr>
        <w:pStyle w:val="BodyText"/>
      </w:pPr>
      <w:r>
        <w:t xml:space="preserve">Enforcing against noncompliance was one of the most commonly cited challenges to the Language Access Program. OHR monitors compliance in two major ways: through review and scoring of agency compliance based on quarterly reports and BLAPs, and through investigation of individual complaints of language access violations. </w:t>
      </w:r>
    </w:p>
    <w:p w:rsidR="00BC4EC1" w:rsidRDefault="00BC4EC1" w:rsidP="00BC4EC1">
      <w:pPr>
        <w:pStyle w:val="BodyTextFirstIndent"/>
      </w:pPr>
      <w:r>
        <w:t xml:space="preserve">OHR reports on agencies’ compliance annually in the compliance report. It computes a score for individual agencies based on field testing and performance in attaining requirements. Advocates object to the fact that agencies are never rated as noncompliant, even if OHR identifies major implementation gaps in its annual review. This connects to the larger challenge that the Language Access Program confronts: the “lack of teeth” to the Language Access Act—namely, the lack of a mechanism that enforces significant consequences for agencies found to be less than 100 percent compliant with the requirements of the Act (AU WCL ICJ 2012). </w:t>
      </w:r>
    </w:p>
    <w:p w:rsidR="00BC4EC1" w:rsidRDefault="00BC4EC1" w:rsidP="00BC4EC1">
      <w:pPr>
        <w:pStyle w:val="BodyTextFirstIndent"/>
        <w:rPr>
          <w:i/>
        </w:rPr>
      </w:pPr>
      <w:r>
        <w:t xml:space="preserve">The advocacy community is also concerned about the individual complaints process, and the DCLAC has provided guidance and suggestions to OHR to improve the system. Several interviewees highlighted the opacity and length of the complaints investigation process, the lack of multilingual options for the actual complaints submittal link on the OHR website, and the lack of transparency about the number of informal complaints </w:t>
      </w:r>
      <w:r w:rsidRPr="00E222EF">
        <w:t>(</w:t>
      </w:r>
      <w:r>
        <w:t>noting that OHR does not report</w:t>
      </w:r>
      <w:r w:rsidRPr="00E222EF">
        <w:t xml:space="preserve"> individual complaints that </w:t>
      </w:r>
      <w:r>
        <w:t>may have been</w:t>
      </w:r>
      <w:r w:rsidRPr="00E222EF">
        <w:t xml:space="preserve"> submitted but </w:t>
      </w:r>
      <w:r>
        <w:t>do</w:t>
      </w:r>
      <w:r w:rsidRPr="00E222EF">
        <w:t xml:space="preserve"> not end up </w:t>
      </w:r>
      <w:r>
        <w:t xml:space="preserve">generating a full </w:t>
      </w:r>
      <w:r w:rsidRPr="00E222EF">
        <w:t>investigation)</w:t>
      </w:r>
      <w:r w:rsidRPr="0028317A">
        <w:rPr>
          <w:i/>
        </w:rPr>
        <w:t>.</w:t>
      </w:r>
      <w:r>
        <w:t xml:space="preserve"> The DCLAC has also pressed for an individual right-of-action and a right to appeal OHR decisions. </w:t>
      </w:r>
      <w:r w:rsidRPr="009E7077">
        <w:t xml:space="preserve">One interviewee reported that OHR </w:t>
      </w:r>
      <w:r>
        <w:t>had</w:t>
      </w:r>
      <w:r w:rsidRPr="009E7077">
        <w:t xml:space="preserve"> </w:t>
      </w:r>
      <w:r>
        <w:t xml:space="preserve">worked to </w:t>
      </w:r>
      <w:r w:rsidRPr="009E7077">
        <w:t>improve the complaints process, using regulatory modification to add a right to appeal an OHR decision to the Office of Administrative Hearings, or providing more informal support through conscientious treatment of individual complaints by specific OHR staff members (following up with individual complainants to encourage them to stick with the complaints process</w:t>
      </w:r>
      <w:r>
        <w:t xml:space="preserve">). Though criticisms about the effectiveness of the complaints process are common, </w:t>
      </w:r>
      <w:r w:rsidRPr="00735496">
        <w:t xml:space="preserve">one interviewee described the </w:t>
      </w:r>
      <w:r>
        <w:t>corrective action</w:t>
      </w:r>
      <w:r w:rsidRPr="00735496">
        <w:t xml:space="preserve"> process</w:t>
      </w:r>
      <w:r>
        <w:t xml:space="preserve">—which is initiated when OHR finds a violation and requires action on the part of the offending agency—as </w:t>
      </w:r>
      <w:r w:rsidRPr="00735496">
        <w:t>an effective threat</w:t>
      </w:r>
      <w:r>
        <w:t>, one</w:t>
      </w:r>
      <w:r w:rsidRPr="00735496">
        <w:t xml:space="preserve"> </w:t>
      </w:r>
      <w:r>
        <w:t>that has</w:t>
      </w:r>
      <w:r w:rsidRPr="00735496">
        <w:t xml:space="preserve"> encourag</w:t>
      </w:r>
      <w:r>
        <w:t>ed</w:t>
      </w:r>
      <w:r w:rsidRPr="00735496">
        <w:t xml:space="preserve"> his agency to </w:t>
      </w:r>
      <w:r>
        <w:t xml:space="preserve">act conscientiously on language access service provision. </w:t>
      </w:r>
    </w:p>
    <w:p w:rsidR="00BC4EC1" w:rsidRPr="00D36874" w:rsidRDefault="00BC4EC1" w:rsidP="00BC4EC1">
      <w:pPr>
        <w:pStyle w:val="Heading1"/>
        <w:rPr>
          <w:i/>
        </w:rPr>
      </w:pPr>
      <w:bookmarkStart w:id="18" w:name="_Toc384741720"/>
      <w:r w:rsidRPr="000817BE">
        <w:t>Recommendations</w:t>
      </w:r>
      <w:bookmarkEnd w:id="18"/>
    </w:p>
    <w:p w:rsidR="00BC4EC1" w:rsidRDefault="00BC4EC1" w:rsidP="00BC4EC1">
      <w:pPr>
        <w:pStyle w:val="BodyText"/>
      </w:pPr>
      <w:r>
        <w:t>Based on insights collected through the stakeholder interviews and review of best practices as well as our understanding of DC’s institutional and demographic context, we propose several recommendations for city officials and stakeholders as they continue to improve the Language Access Program and weigh difficult decisions about future planning and the use of limited resources.</w:t>
      </w:r>
    </w:p>
    <w:p w:rsidR="00BC4EC1" w:rsidRPr="0051237E" w:rsidRDefault="00BC4EC1" w:rsidP="00BC4EC1">
      <w:pPr>
        <w:pStyle w:val="BodyTextFirstIndent"/>
      </w:pPr>
      <w:r w:rsidRPr="00152F06">
        <w:t xml:space="preserve">These recommendations echo many already provided in previous studies, highlighting the substantive consensus that largely exists among </w:t>
      </w:r>
      <w:r>
        <w:t>l</w:t>
      </w:r>
      <w:r w:rsidRPr="00152F06">
        <w:t xml:space="preserve">anguage </w:t>
      </w:r>
      <w:r>
        <w:t>a</w:t>
      </w:r>
      <w:r w:rsidRPr="00152F06">
        <w:t>ccess stakeholders about remaining gaps and priorities for improving implementation</w:t>
      </w:r>
      <w:r>
        <w:t>.</w:t>
      </w:r>
    </w:p>
    <w:p w:rsidR="00BC4EC1" w:rsidRPr="00D36874" w:rsidRDefault="00130D4E" w:rsidP="00BC4EC1">
      <w:pPr>
        <w:pStyle w:val="Heading2"/>
      </w:pPr>
      <w:bookmarkStart w:id="19" w:name="_Toc384741721"/>
      <w:r>
        <w:rPr>
          <w:noProof/>
        </w:rPr>
        <mc:AlternateContent>
          <mc:Choice Requires="wps">
            <w:drawing>
              <wp:anchor distT="0" distB="0" distL="114300" distR="0" simplePos="0" relativeHeight="251667968" behindDoc="0" locked="0" layoutInCell="1" allowOverlap="0" wp14:anchorId="055D6E4D" wp14:editId="6C5D4175">
                <wp:simplePos x="0" y="0"/>
                <wp:positionH relativeFrom="column">
                  <wp:align>right</wp:align>
                </wp:positionH>
                <wp:positionV relativeFrom="paragraph">
                  <wp:posOffset>82550</wp:posOffset>
                </wp:positionV>
                <wp:extent cx="3200400" cy="2311400"/>
                <wp:effectExtent l="0" t="0" r="19050" b="1270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311400"/>
                        </a:xfrm>
                        <a:prstGeom prst="rect">
                          <a:avLst/>
                        </a:prstGeom>
                        <a:ln w="6350">
                          <a:solidFill>
                            <a:srgbClr val="3090C4"/>
                          </a:solidFill>
                        </a:ln>
                        <a:extLst>
                          <a:ext uri="{FAA26D3D-D897-4be2-8F04-BA451C77F1D7}"/>
                          <a:ext uri="{C572A759-6A51-4108-AA02-DFA0A04FC94B}"/>
                        </a:extLst>
                      </wps:spPr>
                      <wps:txbx>
                        <w:txbxContent>
                          <w:p w:rsidR="006D58CF" w:rsidRPr="0051237E" w:rsidRDefault="006D58CF" w:rsidP="00BC4EC1">
                            <w:pPr>
                              <w:pStyle w:val="FigureandTableTitle"/>
                              <w:spacing w:before="120"/>
                            </w:pPr>
                            <w:r w:rsidRPr="0051237E">
                              <w:t>The District is not alone</w:t>
                            </w:r>
                          </w:p>
                          <w:p w:rsidR="006D58CF" w:rsidRDefault="006D58CF" w:rsidP="00BC4EC1">
                            <w:pPr>
                              <w:pStyle w:val="Boxtext"/>
                            </w:pPr>
                            <w:r>
                              <w:t xml:space="preserve">District officials should take the opportunity to learn from good practices in use in other jurisdictions dealing with similar challenges. Neighboring jurisdictions such as Montgomery County, MD, and Arlington County, VA, as well as Fairfax County, VA, all have made efforts to support the language needs of their diverse residents. These are counties with significant foreign-born populations and LEP/NEP needs, with similar or even greater linguistic diversity than District residents. The LEP/NEP populations in the greater DC area, including these suburbs, have a wide range of linguistic needs. Serving a super-diverse client base poses similar opportunities and challenges outside the District. </w:t>
                            </w:r>
                          </w:p>
                        </w:txbxContent>
                      </wps:txbx>
                      <wps:bodyPr rot="0" spcFirstLastPara="0" vertOverflow="clip"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90" o:spid="_x0000_s1061" type="#_x0000_t202" style="position:absolute;margin-left:200.8pt;margin-top:6.5pt;width:252pt;height:182pt;z-index:251667968;visibility:visible;mso-wrap-style:square;mso-width-percent:0;mso-height-percent:0;mso-wrap-distance-left:9pt;mso-wrap-distance-top:0;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" o:allowoverlap="f" filled="f" strokecolor="#3090c4" strokeweight=".5pt">
                <v:path arrowok="t"/>
                <v:textbox style="mso-fit-shape-to-text:t" inset=",0,,0">
                  <w:txbxContent>
                    <w:p w:rsidR="006D58CF" w:rsidRPr="0051237E" w:rsidRDefault="006D58CF" w:rsidP="00BC4EC1">
                      <w:pPr>
                        <w:pStyle w:val="FigureandTableTitle"/>
                        <w:spacing w:before="120"/>
                      </w:pPr>
                      <w:r w:rsidRPr="0051237E">
                        <w:t>The District is not alone</w:t>
                      </w:r>
                    </w:p>
                    <w:p w:rsidR="006D58CF" w:rsidRDefault="006D58CF" w:rsidP="00BC4EC1">
                      <w:pPr>
                        <w:pStyle w:val="Boxtext"/>
                      </w:pPr>
                      <w:r>
                        <w:t xml:space="preserve">District officials should take the opportunity to learn from good practices in use in other jurisdictions dealing with similar challenges. Neighboring jurisdictions such as Montgomery County, MD, and Arlington County, VA, as well as Fairfax County, VA, all have made efforts to support the language needs of their diverse residents. These are counties with significant foreign-born populations and LEP/NEP needs, with similar or even greater linguistic diversity than District residents. The LEP/NEP populations in the greater DC area, including these suburbs, have a wide range of linguistic needs. Serving a super-diverse client base poses similar opportunities and challenges outside the District. </w:t>
                      </w:r>
                    </w:p>
                  </w:txbxContent>
                </v:textbox>
                <w10:wrap type="square"/>
              </v:shape>
            </w:pict>
          </mc:Fallback>
        </mc:AlternateContent>
      </w:r>
      <w:r w:rsidR="00BC4EC1" w:rsidRPr="00EB40DB">
        <w:t>Improve Data Collection and Analysis</w:t>
      </w:r>
      <w:bookmarkEnd w:id="19"/>
    </w:p>
    <w:p w:rsidR="00BC4EC1" w:rsidRPr="00C30769" w:rsidRDefault="00BC4EC1" w:rsidP="00BC4EC1">
      <w:pPr>
        <w:pStyle w:val="ListBullet"/>
        <w:spacing w:after="240"/>
        <w:contextualSpacing w:val="0"/>
      </w:pPr>
      <w:r w:rsidRPr="00C30769">
        <w:t>Continue public engagement efforts to raise public awareness of language access services among constituent groups, particularly newcomers and their families.</w:t>
      </w:r>
    </w:p>
    <w:p w:rsidR="00BC4EC1" w:rsidRPr="00C30769" w:rsidRDefault="00BC4EC1" w:rsidP="00BC4EC1">
      <w:pPr>
        <w:pStyle w:val="ListBullet"/>
      </w:pPr>
      <w:r w:rsidRPr="00C30769">
        <w:t xml:space="preserve">Further develop rigorous data collection on </w:t>
      </w:r>
      <w:r>
        <w:t xml:space="preserve">the </w:t>
      </w:r>
      <w:r w:rsidRPr="00C30769">
        <w:t>language needs of clients and potential clients.</w:t>
      </w:r>
    </w:p>
    <w:p w:rsidR="00BC4EC1" w:rsidRPr="00C30769" w:rsidRDefault="00BC4EC1" w:rsidP="00BC4EC1">
      <w:pPr>
        <w:pStyle w:val="ListBullet2"/>
      </w:pPr>
      <w:r w:rsidRPr="00C30769">
        <w:t>Continue to develop effective data tracking and strive for consistency and coordination across agencies; help agencies learn from each other.</w:t>
      </w:r>
    </w:p>
    <w:p w:rsidR="00BC4EC1" w:rsidRPr="00C30769" w:rsidRDefault="00BC4EC1" w:rsidP="00BC4EC1">
      <w:pPr>
        <w:pStyle w:val="ListBullet2"/>
      </w:pPr>
      <w:r w:rsidRPr="00C30769">
        <w:t>Continue to seek current demographic data and share all information and research with agencies; this should include studies by formal consultative bodies</w:t>
      </w:r>
      <w:r>
        <w:t xml:space="preserve"> (</w:t>
      </w:r>
      <w:proofErr w:type="spellStart"/>
      <w:r>
        <w:t>Chatlosh</w:t>
      </w:r>
      <w:proofErr w:type="spellEnd"/>
      <w:r>
        <w:t xml:space="preserve"> and </w:t>
      </w:r>
      <w:proofErr w:type="spellStart"/>
      <w:r>
        <w:t>Ayometzi</w:t>
      </w:r>
      <w:proofErr w:type="spellEnd"/>
      <w:r>
        <w:t xml:space="preserve"> 2013; Lee 2011)</w:t>
      </w:r>
      <w:r w:rsidRPr="00C30769">
        <w:t xml:space="preserve"> as well as cutting-edge research on municipal integration policies toward LEP/NEP populations.</w:t>
      </w:r>
    </w:p>
    <w:p w:rsidR="00BC4EC1" w:rsidRPr="00C30769" w:rsidRDefault="00BC4EC1" w:rsidP="00BC4EC1">
      <w:pPr>
        <w:pStyle w:val="ListBullet"/>
      </w:pPr>
      <w:r w:rsidRPr="00C30769">
        <w:t>Explore new sources of data to inform language needs assessment.</w:t>
      </w:r>
    </w:p>
    <w:p w:rsidR="00BC4EC1" w:rsidRPr="00C30769" w:rsidRDefault="00BC4EC1" w:rsidP="00BC4EC1">
      <w:pPr>
        <w:pStyle w:val="ListBullet2"/>
      </w:pPr>
      <w:r w:rsidRPr="00C30769">
        <w:t>Collect additional data to assess customer satisfaction with language access services, potentially using customer surveys at points of service</w:t>
      </w:r>
      <w:r>
        <w:t xml:space="preserve"> (New York City Mayor’s Office of Immigrant Affairs 2013; </w:t>
      </w:r>
      <w:proofErr w:type="spellStart"/>
      <w:r>
        <w:t>Laglagaron</w:t>
      </w:r>
      <w:proofErr w:type="spellEnd"/>
      <w:r>
        <w:t xml:space="preserve"> and </w:t>
      </w:r>
      <w:proofErr w:type="spellStart"/>
      <w:r>
        <w:t>Sperling</w:t>
      </w:r>
      <w:proofErr w:type="spellEnd"/>
      <w:r>
        <w:t xml:space="preserve"> 2009)</w:t>
      </w:r>
      <w:r w:rsidRPr="00C30769">
        <w:t>.</w:t>
      </w:r>
      <w:r>
        <w:rPr>
          <w:rStyle w:val="EndnoteReference"/>
        </w:rPr>
        <w:endnoteReference w:id="22"/>
      </w:r>
    </w:p>
    <w:p w:rsidR="00BC4EC1" w:rsidRPr="00C30769" w:rsidRDefault="00BC4EC1" w:rsidP="00BC4EC1">
      <w:pPr>
        <w:pStyle w:val="ListBullet2"/>
      </w:pPr>
      <w:r w:rsidRPr="00C30769">
        <w:t>Collect community-based primary data, partnering with CBOs to capture characteristics and language needs of hard-to-reach populations</w:t>
      </w:r>
      <w:r>
        <w:t xml:space="preserve"> (US DOJ 2011)</w:t>
      </w:r>
      <w:r w:rsidRPr="00C30769">
        <w:t>.</w:t>
      </w:r>
      <w:r w:rsidRPr="00C30769">
        <w:rPr>
          <w:rStyle w:val="EndnoteReference"/>
        </w:rPr>
        <w:endnoteReference w:id="23"/>
      </w:r>
    </w:p>
    <w:p w:rsidR="00BC4EC1" w:rsidRPr="00C30769" w:rsidRDefault="00BC4EC1" w:rsidP="00BC4EC1">
      <w:pPr>
        <w:pStyle w:val="ListBullet"/>
      </w:pPr>
      <w:r w:rsidRPr="00C30769">
        <w:t>Consider how data analysis practices can be improved in order to better meet the requirements of the Act and improve services.</w:t>
      </w:r>
    </w:p>
    <w:p w:rsidR="00BC4EC1" w:rsidRPr="00C30769" w:rsidRDefault="00BC4EC1" w:rsidP="00BC4EC1">
      <w:pPr>
        <w:pStyle w:val="ListBullet2"/>
      </w:pPr>
      <w:r w:rsidRPr="00C30769">
        <w:t>Provide more detailed guidance to LACs on how to analyze their usage data and other data sources.</w:t>
      </w:r>
    </w:p>
    <w:p w:rsidR="00BC4EC1" w:rsidRPr="00C30769" w:rsidRDefault="00BC4EC1" w:rsidP="00BC4EC1">
      <w:pPr>
        <w:pStyle w:val="ListBullet2"/>
      </w:pPr>
      <w:r w:rsidRPr="00C30769">
        <w:t>Ensure that all stakeholders understand the requirements of the Act.</w:t>
      </w:r>
    </w:p>
    <w:p w:rsidR="00BC4EC1" w:rsidRPr="00C30769" w:rsidRDefault="00BC4EC1" w:rsidP="00BC4EC1">
      <w:pPr>
        <w:pStyle w:val="ListBullet2"/>
      </w:pPr>
      <w:r w:rsidRPr="00C30769">
        <w:t>The languages that hit the 500 person or 3</w:t>
      </w:r>
      <w:r>
        <w:t xml:space="preserve"> percent</w:t>
      </w:r>
      <w:r w:rsidRPr="00C30769">
        <w:t xml:space="preserve"> benchmark should be determined as required by the Language Access Act, based on agency-specific context and the existing and potential customer base of each agency.</w:t>
      </w:r>
    </w:p>
    <w:p w:rsidR="00BC4EC1" w:rsidRPr="00C30769" w:rsidRDefault="00BC4EC1" w:rsidP="00BC4EC1">
      <w:pPr>
        <w:pStyle w:val="ListBullet2"/>
      </w:pPr>
      <w:r w:rsidRPr="00C30769">
        <w:t>Assist agencies in evaluating their language access services, or commission an objective evaluator to conduct a comprehensive needs assessment and implementation evaluation of Language Access Program.</w:t>
      </w:r>
    </w:p>
    <w:p w:rsidR="00BC4EC1" w:rsidRPr="007554B4" w:rsidRDefault="00130D4E" w:rsidP="00BC4EC1">
      <w:pPr>
        <w:pStyle w:val="Heading2"/>
      </w:pPr>
      <w:bookmarkStart w:id="20" w:name="_Toc384741722"/>
      <w:r>
        <w:rPr>
          <w:noProof/>
        </w:rPr>
        <mc:AlternateContent>
          <mc:Choice Requires="wps">
            <w:drawing>
              <wp:anchor distT="0" distB="0" distL="91440" distR="91440" simplePos="0" relativeHeight="251664896" behindDoc="0" locked="0" layoutInCell="1" allowOverlap="0" wp14:anchorId="50A51C44" wp14:editId="693A32CB">
                <wp:simplePos x="0" y="0"/>
                <wp:positionH relativeFrom="column">
                  <wp:align>right</wp:align>
                </wp:positionH>
                <wp:positionV relativeFrom="paragraph">
                  <wp:posOffset>-91440</wp:posOffset>
                </wp:positionV>
                <wp:extent cx="3197860" cy="4053840"/>
                <wp:effectExtent l="0" t="0" r="21590" b="22860"/>
                <wp:wrapSquare wrapText="lef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7860" cy="4053840"/>
                        </a:xfrm>
                        <a:prstGeom prst="rect">
                          <a:avLst/>
                        </a:prstGeom>
                        <a:ln w="6350">
                          <a:solidFill>
                            <a:srgbClr val="3090C4"/>
                          </a:solidFill>
                        </a:ln>
                        <a:extLst>
                          <a:ext uri="{FAA26D3D-D897-4be2-8F04-BA451C77F1D7}"/>
                          <a:ext uri="{C572A759-6A51-4108-AA02-DFA0A04FC94B}"/>
                        </a:extLst>
                      </wps:spPr>
                      <wps:txbx>
                        <w:txbxContent>
                          <w:p w:rsidR="006D58CF" w:rsidRPr="0051237E" w:rsidRDefault="006D58CF" w:rsidP="00BC4EC1">
                            <w:pPr>
                              <w:pStyle w:val="FigureandTableTitle"/>
                              <w:spacing w:before="120"/>
                            </w:pPr>
                            <w:r w:rsidRPr="0051237E">
                              <w:t>Leveraging bilingual skill</w:t>
                            </w:r>
                          </w:p>
                          <w:p w:rsidR="006D58CF" w:rsidRDefault="006D58CF" w:rsidP="00BC4EC1">
                            <w:pPr>
                              <w:pStyle w:val="Boxtext"/>
                            </w:pPr>
                            <w:r>
                              <w:t xml:space="preserve">Montgomery County also has a language access policy, framed by a 2010 executive order that requires county agencies to take meaningful steps to provide access to LEP/NEP residents. The organizational setup has some similarities with the District’s, requiring departments to create language access plans and designate liaisons responsible for assessing and serving language needs. An LEP leadership team, made up of representatives from multiple departments, may serve an advisory committee function. The language access coordinator is based in the Office of Community Partnerships, the government office responsible for community outreach. </w:t>
                            </w:r>
                          </w:p>
                          <w:p w:rsidR="006D58CF" w:rsidRDefault="006D58CF" w:rsidP="00BC4EC1">
                            <w:pPr>
                              <w:pStyle w:val="Boxtext"/>
                            </w:pPr>
                            <w:r>
                              <w:t xml:space="preserve">The county shows some promising practices in particular on leveraging bilingual skills. Montgomery County was an early mover on rewarding bilingual county employees, providing a pay stipend for those certified proficient in second languages at a basic or advanced level. These bilingual staff resources are centralized through a language certified employees database, which departments can access to fill particular needs as they arise. The county also takes advantage of the public’s linguistic skill through a volunteer-staffed language bank, with bilingual individuals on call to help translate or interpret for both county agencies and nonprofit organizations. </w:t>
                            </w:r>
                          </w:p>
                        </w:txbxContent>
                      </wps:txbx>
                      <wps:bodyPr rot="0" spcFirstLastPara="0" vertOverflow="clip" horzOverflow="overflow" vert="horz" wrap="square" lIns="91440" tIns="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00.6pt;margin-top:-7.2pt;width:251.8pt;height:319.2pt;z-index:251664896;visibility:visible;mso-wrap-style:square;mso-width-percent:0;mso-height-percent:0;mso-wrap-distance-left:7.2pt;mso-wrap-distance-top:0;mso-wrap-distance-right:7.2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" o:allowoverlap="f" filled="f" strokecolor="#3090c4" strokeweight=".5pt">
                <v:path arrowok="t"/>
                <v:textbox style="mso-fit-shape-to-text:t" inset=",0">
                  <w:txbxContent>
                    <w:p w:rsidR="006D58CF" w:rsidRPr="0051237E" w:rsidRDefault="006D58CF" w:rsidP="00BC4EC1">
                      <w:pPr>
                        <w:pStyle w:val="FigureandTableTitle"/>
                        <w:spacing w:before="120"/>
                      </w:pPr>
                      <w:r w:rsidRPr="0051237E">
                        <w:t>Leveraging bilingual skill</w:t>
                      </w:r>
                    </w:p>
                    <w:p w:rsidR="006D58CF" w:rsidRDefault="006D58CF" w:rsidP="00BC4EC1">
                      <w:pPr>
                        <w:pStyle w:val="Boxtext"/>
                      </w:pPr>
                      <w:r>
                        <w:t xml:space="preserve">Montgomery County also has a language access policy, framed by a 2010 executive order that requires county agencies to take meaningful steps to provide access to LEP/NEP residents. The organizational setup has some similarities with the District’s, requiring departments to create language access plans and designate liaisons responsible for assessing and serving language needs. An LEP leadership team, made up of representatives from multiple departments, may serve an advisory committee function. The language access coordinator is based in the Office of Community Partnerships, the government office responsible for community outreach. </w:t>
                      </w:r>
                    </w:p>
                    <w:p w:rsidR="006D58CF" w:rsidRDefault="006D58CF" w:rsidP="00BC4EC1">
                      <w:pPr>
                        <w:pStyle w:val="Boxtext"/>
                      </w:pPr>
                      <w:r>
                        <w:t xml:space="preserve">The county shows some promising practices in particular on leveraging bilingual skills. Montgomery County was an early mover on rewarding bilingual county employees, providing a pay stipend for those certified proficient in second languages at a basic or advanced level. These bilingual staff resources are centralized through a language certified employees database, which departments can access to fill particular needs as they arise. The county also takes advantage of the public’s linguistic skill through a volunteer-staffed language bank, with bilingual individuals on call to help translate or interpret for both county agencies and nonprofit organizations. </w:t>
                      </w:r>
                    </w:p>
                  </w:txbxContent>
                </v:textbox>
                <w10:wrap type="square" side="left"/>
              </v:shape>
            </w:pict>
          </mc:Fallback>
        </mc:AlternateContent>
      </w:r>
      <w:r w:rsidR="00BC4EC1">
        <w:t>Recognize Importance of Human Capital</w:t>
      </w:r>
      <w:bookmarkEnd w:id="20"/>
      <w:r w:rsidR="00BC4EC1" w:rsidRPr="007554B4">
        <w:t xml:space="preserve"> </w:t>
      </w:r>
    </w:p>
    <w:p w:rsidR="00BC4EC1" w:rsidRPr="00C30769" w:rsidRDefault="00BC4EC1" w:rsidP="00BC4EC1">
      <w:pPr>
        <w:pStyle w:val="ListBullet"/>
      </w:pPr>
      <w:r w:rsidRPr="00C30769">
        <w:t>Invest in the District’s multilingual personnel.</w:t>
      </w:r>
    </w:p>
    <w:p w:rsidR="00BC4EC1" w:rsidRPr="00C30769" w:rsidRDefault="00BC4EC1" w:rsidP="00BC4EC1">
      <w:pPr>
        <w:pStyle w:val="ListBullet2"/>
      </w:pPr>
      <w:r w:rsidRPr="00C30769">
        <w:t>Modify hiring and recruitment practices so agencies can recruit and retain highly</w:t>
      </w:r>
      <w:r>
        <w:t xml:space="preserve"> </w:t>
      </w:r>
      <w:r w:rsidRPr="00C30769">
        <w:t>skilled bilingual employees required, whether that means greater outreach, changes in job descriptions, wage differentials,</w:t>
      </w:r>
      <w:r w:rsidRPr="00C30769">
        <w:rPr>
          <w:rStyle w:val="EndnoteReference"/>
        </w:rPr>
        <w:endnoteReference w:id="24"/>
      </w:r>
      <w:r w:rsidRPr="00C30769">
        <w:t xml:space="preserve"> or other tools.</w:t>
      </w:r>
    </w:p>
    <w:p w:rsidR="00BC4EC1" w:rsidRPr="00C30769" w:rsidRDefault="00BC4EC1" w:rsidP="00BC4EC1">
      <w:pPr>
        <w:pStyle w:val="ListBullet2"/>
      </w:pPr>
      <w:r w:rsidRPr="00C30769">
        <w:t>Whenever possible within agency constraints, hire additional bilingual personnel in top languages used by agency clientele.</w:t>
      </w:r>
    </w:p>
    <w:p w:rsidR="00BC4EC1" w:rsidRPr="00C30769" w:rsidRDefault="00BC4EC1" w:rsidP="00BC4EC1">
      <w:pPr>
        <w:pStyle w:val="ListBullet"/>
      </w:pPr>
      <w:r w:rsidRPr="00C30769">
        <w:t>Leverage existing resources more effectively at low cost.</w:t>
      </w:r>
    </w:p>
    <w:p w:rsidR="00BC4EC1" w:rsidRPr="00C30769" w:rsidRDefault="00BC4EC1" w:rsidP="00BC4EC1">
      <w:pPr>
        <w:pStyle w:val="ListBullet2"/>
      </w:pPr>
      <w:r w:rsidRPr="00C30769">
        <w:t>Recognize, test, and train current personnel who have bilingual skills.</w:t>
      </w:r>
    </w:p>
    <w:p w:rsidR="00BC4EC1" w:rsidRPr="00C30769" w:rsidRDefault="00BC4EC1" w:rsidP="00BC4EC1">
      <w:pPr>
        <w:pStyle w:val="ListBullet2"/>
      </w:pPr>
      <w:r w:rsidRPr="00C30769">
        <w:t>Take advantage of Washington</w:t>
      </w:r>
      <w:r>
        <w:t>’</w:t>
      </w:r>
      <w:r w:rsidRPr="00C30769">
        <w:t>s highly-educated foreign-born population to fill bilingual need; engage directly with CBOs to help identify qualified bilingual individuals</w:t>
      </w:r>
      <w:r w:rsidRPr="00C30769">
        <w:rPr>
          <w:rStyle w:val="EndnoteReference"/>
        </w:rPr>
        <w:endnoteReference w:id="25"/>
      </w:r>
      <w:r w:rsidRPr="00C30769">
        <w:t xml:space="preserve"> and seek support from the business community.</w:t>
      </w:r>
    </w:p>
    <w:p w:rsidR="00BC4EC1" w:rsidRPr="00C30769" w:rsidRDefault="00BC4EC1" w:rsidP="00BC4EC1">
      <w:pPr>
        <w:pStyle w:val="ListBullet2"/>
      </w:pPr>
      <w:r w:rsidRPr="00C30769">
        <w:t>Continue team-based agency approach in order to support LACs, and foster high-level support from managers, Directors, and above.</w:t>
      </w:r>
      <w:r w:rsidRPr="00C30769">
        <w:rPr>
          <w:rStyle w:val="EndnoteReference"/>
        </w:rPr>
        <w:endnoteReference w:id="26"/>
      </w:r>
    </w:p>
    <w:p w:rsidR="00BC4EC1" w:rsidRPr="00250578" w:rsidRDefault="00130D4E" w:rsidP="00BC4EC1">
      <w:pPr>
        <w:pStyle w:val="Heading2"/>
      </w:pPr>
      <w:bookmarkStart w:id="21" w:name="_Toc384741723"/>
      <w:r>
        <w:rPr>
          <w:noProof/>
        </w:rPr>
        <mc:AlternateContent>
          <mc:Choice Requires="wps">
            <w:drawing>
              <wp:anchor distT="0" distB="0" distL="91440" distR="0" simplePos="0" relativeHeight="251666944" behindDoc="0" locked="0" layoutInCell="1" allowOverlap="1" wp14:anchorId="78BB8AA2" wp14:editId="4DC2507A">
                <wp:simplePos x="0" y="0"/>
                <wp:positionH relativeFrom="column">
                  <wp:posOffset>3149600</wp:posOffset>
                </wp:positionH>
                <wp:positionV relativeFrom="paragraph">
                  <wp:posOffset>70485</wp:posOffset>
                </wp:positionV>
                <wp:extent cx="3196590" cy="3255645"/>
                <wp:effectExtent l="0" t="0" r="22860" b="2095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6590" cy="3255645"/>
                        </a:xfrm>
                        <a:prstGeom prst="rect">
                          <a:avLst/>
                        </a:prstGeom>
                        <a:ln w="6350">
                          <a:solidFill>
                            <a:srgbClr val="3090C4"/>
                          </a:solidFill>
                        </a:ln>
                        <a:extLst>
                          <a:ext uri="{C572A759-6A51-4108-AA02-DFA0A04FC94B}"/>
                        </a:extLst>
                      </wps:spPr>
                      <wps:txbx>
                        <w:txbxContent>
                          <w:p w:rsidR="006D58CF" w:rsidRPr="0051237E" w:rsidRDefault="006D58CF" w:rsidP="00BC4EC1">
                            <w:pPr>
                              <w:pStyle w:val="FigureandTableTitle"/>
                              <w:spacing w:before="120"/>
                            </w:pPr>
                            <w:r w:rsidRPr="0051237E">
                              <w:t>Collecting information on the customer experience</w:t>
                            </w:r>
                          </w:p>
                          <w:p w:rsidR="006D58CF" w:rsidRDefault="006D58CF" w:rsidP="00BC4EC1">
                            <w:pPr>
                              <w:pStyle w:val="Boxtext"/>
                            </w:pPr>
                            <w:r>
                              <w:t>New York City, a much larger city drawing on potentially greater resources, is another interesting case that can offer some good practices. New York has several similar organizational features to the District’s Language Access Program model, such as language access coordinators for different agencies and a field testing process of actual agency compliance through “secret shopping” conducted since 2010. One notable innovation is the use of customer satisfaction surveys, distributed in the top six languages throughout service points in different agencies (New York City Office of Immigrant Affairs 2013). This provides municipal agencies an opportunity to collect feedback from customers about their use of language access services. Although this data source faces limitations and still must be complemented by additional sources of information on unmet community needs, it could provide a valuable further source of evidence to inform policy decisions.</w:t>
                            </w:r>
                          </w:p>
                        </w:txbxContent>
                      </wps:txbx>
                      <wps:bodyPr rot="0" spcFirstLastPara="0" vertOverflow="clip" horzOverflow="overflow" vert="horz" wrap="square" lIns="91440" tIns="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63" o:spid="_x0000_s1063" type="#_x0000_t202" style="position:absolute;margin-left:248pt;margin-top:5.55pt;width:251.7pt;height:256.35pt;z-index:251666944;visibility:visible;mso-wrap-style:square;mso-width-percent:0;mso-height-percent:0;mso-wrap-distance-left:7.2pt;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" filled="f" strokecolor="#3090c4" strokeweight=".5pt">
                <v:path arrowok="t"/>
                <v:textbox style="mso-fit-shape-to-text:t" inset=",0">
                  <w:txbxContent>
                    <w:p w:rsidR="006D58CF" w:rsidRPr="0051237E" w:rsidRDefault="006D58CF" w:rsidP="00BC4EC1">
                      <w:pPr>
                        <w:pStyle w:val="FigureandTableTitle"/>
                        <w:spacing w:before="120"/>
                      </w:pPr>
                      <w:r w:rsidRPr="0051237E">
                        <w:t>Collecting information on the customer experience</w:t>
                      </w:r>
                    </w:p>
                    <w:p w:rsidR="006D58CF" w:rsidRDefault="006D58CF" w:rsidP="00BC4EC1">
                      <w:pPr>
                        <w:pStyle w:val="Boxtext"/>
                      </w:pPr>
                      <w:r>
                        <w:t>New York City, a much larger city drawing on potentially greater resources, is another interesting case that can offer some good practices. New York has several similar organizational features to the District’s Language Access Program model, such as language access coordinators for different agencies and a field testing process of actual agency compliance through “secret shopping” conducted since 2010. One notable innovation is the use of customer satisfaction surveys, distributed in the top six languages throughout service points in different agencies (New York City Office of Immigrant Affairs 2013). This provides municipal agencies an opportunity to collect feedback from customers about their use of language access services. Although this data source faces limitations and still must be complemented by additional sources of information on unmet community needs, it could provide a valuable further source of evidence to inform policy decisions.</w:t>
                      </w:r>
                    </w:p>
                  </w:txbxContent>
                </v:textbox>
                <w10:wrap type="square"/>
              </v:shape>
            </w:pict>
          </mc:Fallback>
        </mc:AlternateContent>
      </w:r>
      <w:r w:rsidR="00BC4EC1" w:rsidRPr="007554B4">
        <w:t>Improve</w:t>
      </w:r>
      <w:r w:rsidR="00BC4EC1">
        <w:t xml:space="preserve"> Quality and Accessibility of</w:t>
      </w:r>
      <w:r w:rsidR="00BC4EC1" w:rsidRPr="007554B4">
        <w:t xml:space="preserve"> Current Services and Materials</w:t>
      </w:r>
      <w:bookmarkEnd w:id="21"/>
    </w:p>
    <w:p w:rsidR="00BC4EC1" w:rsidRPr="00C30769" w:rsidRDefault="00BC4EC1" w:rsidP="00BC4EC1">
      <w:pPr>
        <w:pStyle w:val="ListBullet"/>
      </w:pPr>
      <w:r w:rsidRPr="00C30769">
        <w:t>Ensure that all language needs are being served, in all needed languages, at high quality, and in accessible formats, while taking into account resource constraints.</w:t>
      </w:r>
    </w:p>
    <w:p w:rsidR="00BC4EC1" w:rsidRPr="00C30769" w:rsidRDefault="00BC4EC1" w:rsidP="00BC4EC1">
      <w:pPr>
        <w:pStyle w:val="ListBullet2"/>
      </w:pPr>
      <w:r w:rsidRPr="00C30769">
        <w:t>Be sensitive to the dynamic nature of LEP/NEP needs, in consideration of changing inflows and residence patterns, emerging language and service needs, and movement towards English proficiency.</w:t>
      </w:r>
    </w:p>
    <w:p w:rsidR="00BC4EC1" w:rsidRPr="00C30769" w:rsidRDefault="00BC4EC1" w:rsidP="00BC4EC1">
      <w:pPr>
        <w:pStyle w:val="ListBullet2"/>
      </w:pPr>
      <w:r w:rsidRPr="00C30769">
        <w:t>Consider certification of interpreters and translators in order to ensure quality</w:t>
      </w:r>
      <w:r>
        <w:t xml:space="preserve"> (</w:t>
      </w:r>
      <w:proofErr w:type="spellStart"/>
      <w:r>
        <w:t>Laglagaron</w:t>
      </w:r>
      <w:proofErr w:type="spellEnd"/>
      <w:r>
        <w:t xml:space="preserve"> and </w:t>
      </w:r>
      <w:proofErr w:type="spellStart"/>
      <w:r>
        <w:t>Sperling</w:t>
      </w:r>
      <w:proofErr w:type="spellEnd"/>
      <w:r>
        <w:t xml:space="preserve"> 2009)</w:t>
      </w:r>
      <w:r w:rsidRPr="00C30769">
        <w:t>.</w:t>
      </w:r>
    </w:p>
    <w:p w:rsidR="00BC4EC1" w:rsidRPr="00C30769" w:rsidRDefault="00BC4EC1" w:rsidP="00BC4EC1">
      <w:pPr>
        <w:pStyle w:val="ListBullet2"/>
      </w:pPr>
      <w:r w:rsidRPr="00C30769">
        <w:t>Consider evaluating the quality of the new providers to ensure that translation quality is sound, and incorporate perspectives from customers, LACs, the Mayor’s constituent offices, and DCLAC/MLOV.</w:t>
      </w:r>
    </w:p>
    <w:p w:rsidR="00BC4EC1" w:rsidRPr="00C30769" w:rsidRDefault="00BC4EC1" w:rsidP="00BC4EC1">
      <w:pPr>
        <w:pStyle w:val="ListBullet"/>
      </w:pPr>
      <w:r w:rsidRPr="00C30769">
        <w:t xml:space="preserve">Continue </w:t>
      </w:r>
      <w:r>
        <w:t xml:space="preserve">cross-agency </w:t>
      </w:r>
      <w:r w:rsidRPr="00C30769">
        <w:t>coordination to promote efficiencies in leveraging existing resources.</w:t>
      </w:r>
      <w:r>
        <w:rPr>
          <w:rStyle w:val="EndnoteReference"/>
        </w:rPr>
        <w:endnoteReference w:id="27"/>
      </w:r>
    </w:p>
    <w:p w:rsidR="00BC4EC1" w:rsidRPr="00605297" w:rsidRDefault="00BC4EC1" w:rsidP="00BC4EC1">
      <w:pPr>
        <w:pStyle w:val="Heading2"/>
      </w:pPr>
      <w:bookmarkStart w:id="22" w:name="_Toc384741724"/>
      <w:r w:rsidRPr="00605297">
        <w:t>Consider Investing More Resources in the Language Access Program</w:t>
      </w:r>
      <w:bookmarkEnd w:id="22"/>
    </w:p>
    <w:p w:rsidR="00BC4EC1" w:rsidRPr="00C30769" w:rsidRDefault="00BC4EC1" w:rsidP="00BC4EC1">
      <w:pPr>
        <w:pStyle w:val="ListBullet"/>
        <w:spacing w:after="240"/>
        <w:contextualSpacing w:val="0"/>
      </w:pPr>
      <w:r w:rsidRPr="00C30769">
        <w:t xml:space="preserve">Carefully consider the costs and benefits of keeping </w:t>
      </w:r>
      <w:r>
        <w:t>l</w:t>
      </w:r>
      <w:r w:rsidRPr="00C30769">
        <w:t xml:space="preserve">anguage </w:t>
      </w:r>
      <w:r>
        <w:t>a</w:t>
      </w:r>
      <w:r w:rsidRPr="00C30769">
        <w:t>ccess at current, agency-specific funding levels</w:t>
      </w:r>
      <w:r>
        <w:t>.</w:t>
      </w:r>
    </w:p>
    <w:p w:rsidR="00BC4EC1" w:rsidRPr="00C30769" w:rsidRDefault="00BC4EC1" w:rsidP="00BC4EC1">
      <w:pPr>
        <w:pStyle w:val="ListBullet"/>
        <w:spacing w:after="240"/>
        <w:contextualSpacing w:val="0"/>
      </w:pPr>
      <w:r>
        <w:t xml:space="preserve">Bearing in mind </w:t>
      </w:r>
      <w:r w:rsidRPr="00C30769">
        <w:t>the policy tradeoffs and limited budget, consider investing more funds in order to ensure full access to LEP/NEP residents.</w:t>
      </w:r>
    </w:p>
    <w:p w:rsidR="00BC4EC1" w:rsidRPr="00D36874" w:rsidRDefault="00BC4EC1" w:rsidP="00BC4EC1">
      <w:pPr>
        <w:pStyle w:val="Heading2"/>
      </w:pPr>
      <w:bookmarkStart w:id="23" w:name="_Toc384741725"/>
      <w:r w:rsidRPr="00D36874">
        <w:t>Improve Coordination between Agencies</w:t>
      </w:r>
      <w:bookmarkEnd w:id="23"/>
    </w:p>
    <w:p w:rsidR="00BC4EC1" w:rsidRPr="00C30769" w:rsidRDefault="00BC4EC1" w:rsidP="00BC4EC1">
      <w:pPr>
        <w:pStyle w:val="ListBullet"/>
      </w:pPr>
      <w:r w:rsidRPr="00C30769">
        <w:t>Continue efforts to coordinate language access efforts across agencies and centralize resources for LACs.</w:t>
      </w:r>
    </w:p>
    <w:p w:rsidR="00BC4EC1" w:rsidRPr="00C30769" w:rsidRDefault="00BC4EC1" w:rsidP="00BC4EC1">
      <w:pPr>
        <w:pStyle w:val="ListBullet2"/>
      </w:pPr>
      <w:r w:rsidRPr="00C30769">
        <w:t xml:space="preserve">Consider creating an LEP/NEP data and evaluation oversight committee to </w:t>
      </w:r>
      <w:r>
        <w:t xml:space="preserve">help </w:t>
      </w:r>
      <w:r w:rsidRPr="00C30769">
        <w:t>OHR provid</w:t>
      </w:r>
      <w:r>
        <w:t>e</w:t>
      </w:r>
      <w:r w:rsidRPr="00C30769">
        <w:t xml:space="preserve"> technical assistance to agencies</w:t>
      </w:r>
      <w:r>
        <w:t xml:space="preserve"> (</w:t>
      </w:r>
      <w:proofErr w:type="spellStart"/>
      <w:r>
        <w:t>Laglagaron</w:t>
      </w:r>
      <w:proofErr w:type="spellEnd"/>
      <w:r>
        <w:t xml:space="preserve"> and </w:t>
      </w:r>
      <w:proofErr w:type="spellStart"/>
      <w:r>
        <w:t>Sperling</w:t>
      </w:r>
      <w:proofErr w:type="spellEnd"/>
      <w:r>
        <w:t xml:space="preserve"> 2009)</w:t>
      </w:r>
      <w:r w:rsidRPr="00C30769">
        <w:t xml:space="preserve">; this could include the DCLAC and </w:t>
      </w:r>
      <w:r>
        <w:t>m</w:t>
      </w:r>
      <w:r w:rsidRPr="00C30769">
        <w:t xml:space="preserve">ayor’s constituent offices </w:t>
      </w:r>
      <w:r>
        <w:t xml:space="preserve">as well as </w:t>
      </w:r>
      <w:r w:rsidRPr="00C30769">
        <w:t>external research and service provision experts.</w:t>
      </w:r>
    </w:p>
    <w:p w:rsidR="00BC4EC1" w:rsidRPr="00C30769" w:rsidRDefault="00BC4EC1" w:rsidP="00BC4EC1">
      <w:pPr>
        <w:pStyle w:val="ListBullet"/>
      </w:pPr>
      <w:r w:rsidRPr="00C30769">
        <w:t xml:space="preserve">Continue to recognize that one size may </w:t>
      </w:r>
      <w:r w:rsidRPr="00C30769">
        <w:rPr>
          <w:i/>
        </w:rPr>
        <w:t>not</w:t>
      </w:r>
      <w:r w:rsidRPr="00C30769">
        <w:t xml:space="preserve"> fit all </w:t>
      </w:r>
      <w:r>
        <w:t xml:space="preserve">for </w:t>
      </w:r>
      <w:r w:rsidRPr="00C30769">
        <w:t>such a diverse array of agencies.</w:t>
      </w:r>
    </w:p>
    <w:p w:rsidR="00BC4EC1" w:rsidRPr="00C30769" w:rsidRDefault="00BC4EC1" w:rsidP="00BC4EC1">
      <w:pPr>
        <w:pStyle w:val="ListBullet2"/>
      </w:pPr>
      <w:r w:rsidRPr="00C30769">
        <w:t xml:space="preserve">Facilitate coordination between subgroups of agencies </w:t>
      </w:r>
      <w:r>
        <w:t xml:space="preserve">that </w:t>
      </w:r>
      <w:r w:rsidRPr="00C30769">
        <w:t>could learn from each other or coordinate more effectively on a smaller scale.</w:t>
      </w:r>
    </w:p>
    <w:p w:rsidR="00BC4EC1" w:rsidRPr="00C30769" w:rsidRDefault="00BC4EC1" w:rsidP="00BC4EC1">
      <w:pPr>
        <w:pStyle w:val="ListBullet2"/>
      </w:pPr>
      <w:r w:rsidRPr="00C30769">
        <w:t xml:space="preserve">Collect information on </w:t>
      </w:r>
      <w:r>
        <w:t xml:space="preserve">what </w:t>
      </w:r>
      <w:r w:rsidRPr="00C30769">
        <w:t xml:space="preserve">LACs still require in order to accomplish their responsibilities. </w:t>
      </w:r>
    </w:p>
    <w:p w:rsidR="00BC4EC1" w:rsidRPr="00C30769" w:rsidRDefault="00BC4EC1" w:rsidP="00BC4EC1">
      <w:pPr>
        <w:pStyle w:val="ListBullet2"/>
      </w:pPr>
      <w:r>
        <w:t>Encourage a</w:t>
      </w:r>
      <w:r w:rsidRPr="00C30769">
        <w:t xml:space="preserve">gencies </w:t>
      </w:r>
      <w:r>
        <w:t xml:space="preserve">to </w:t>
      </w:r>
      <w:r w:rsidRPr="00C30769">
        <w:t xml:space="preserve">be responsive to the language needs </w:t>
      </w:r>
      <w:r>
        <w:t xml:space="preserve">of </w:t>
      </w:r>
      <w:r w:rsidRPr="00C30769">
        <w:t xml:space="preserve">their specific client bases. </w:t>
      </w:r>
    </w:p>
    <w:p w:rsidR="00BC4EC1" w:rsidRPr="007554B4" w:rsidRDefault="00BC4EC1" w:rsidP="00BC4EC1">
      <w:pPr>
        <w:pStyle w:val="Heading2"/>
      </w:pPr>
      <w:bookmarkStart w:id="24" w:name="_Toc384741726"/>
      <w:r w:rsidRPr="007554B4">
        <w:t>Pursue Aggressive Community Engagement</w:t>
      </w:r>
      <w:bookmarkEnd w:id="24"/>
    </w:p>
    <w:p w:rsidR="00BC4EC1" w:rsidRPr="00C30769" w:rsidRDefault="00130D4E" w:rsidP="00BC4EC1">
      <w:pPr>
        <w:pStyle w:val="ListBullet"/>
        <w:spacing w:after="240"/>
        <w:contextualSpacing w:val="0"/>
      </w:pPr>
      <w:r>
        <w:rPr>
          <w:noProof/>
        </w:rPr>
        <mc:AlternateContent>
          <mc:Choice Requires="wps">
            <w:drawing>
              <wp:anchor distT="0" distB="0" distL="91440" distR="0" simplePos="0" relativeHeight="251665920" behindDoc="0" locked="0" layoutInCell="1" allowOverlap="0" wp14:anchorId="32963A41" wp14:editId="48459299">
                <wp:simplePos x="0" y="0"/>
                <wp:positionH relativeFrom="page">
                  <wp:posOffset>4127500</wp:posOffset>
                </wp:positionH>
                <wp:positionV relativeFrom="paragraph">
                  <wp:posOffset>124460</wp:posOffset>
                </wp:positionV>
                <wp:extent cx="2971800" cy="2209800"/>
                <wp:effectExtent l="0" t="0" r="19050" b="19050"/>
                <wp:wrapSquare wrapText="lef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209800"/>
                        </a:xfrm>
                        <a:prstGeom prst="rect">
                          <a:avLst/>
                        </a:prstGeom>
                        <a:ln w="6350">
                          <a:solidFill>
                            <a:srgbClr val="3090C4"/>
                          </a:solidFill>
                        </a:ln>
                        <a:extLst>
                          <a:ext uri="{C572A759-6A51-4108-AA02-DFA0A04FC94B}"/>
                        </a:extLst>
                      </wps:spPr>
                      <wps:txbx>
                        <w:txbxContent>
                          <w:p w:rsidR="006D58CF" w:rsidRPr="0051237E" w:rsidRDefault="006D58CF" w:rsidP="00BC4EC1">
                            <w:pPr>
                              <w:pStyle w:val="FigureandTableTitle"/>
                              <w:spacing w:before="120"/>
                            </w:pPr>
                            <w:r w:rsidRPr="0051237E">
                              <w:t>Making web access accessible</w:t>
                            </w:r>
                          </w:p>
                          <w:p w:rsidR="006D58CF" w:rsidRDefault="006D58CF" w:rsidP="00BC4EC1">
                            <w:pPr>
                              <w:pStyle w:val="Boxtext"/>
                            </w:pPr>
                            <w:r>
                              <w:t>Arlington County passed a language access resolution in 2004, with a key assistance and monitoring role provided by the Office of Human Rights and authority falling to the county manager. Arlington offers some promising practices on website accessibility for LEP/NEP residents, geared in particular for Spanish-speaking residents,</w:t>
                            </w:r>
                            <w:r w:rsidRPr="0051237E">
                              <w:t xml:space="preserve"> who are the </w:t>
                            </w:r>
                            <w:r>
                              <w:t>county’s single largest language need group. Spanish-language website resources are centralized as a mirror page to the main county website. There are gaps in providing translation of all website material, but lessons can be drawn on easy accessibility.</w:t>
                            </w:r>
                          </w:p>
                        </w:txbxContent>
                      </wps:txbx>
                      <wps:bodyPr rot="0" spcFirstLastPara="0" vertOverflow="clip" horzOverflow="overflow" vert="horz" wrap="square" lIns="91440" tIns="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6" o:spid="_x0000_s1064" type="#_x0000_t202" style="position:absolute;left:0;text-align:left;margin-left:325pt;margin-top:9.8pt;width:234pt;height:174pt;z-index:251665920;visibility:visible;mso-wrap-style:square;mso-width-percent:0;mso-height-percent:0;mso-wrap-distance-left:7.2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" o:allowoverlap="f" filled="f" strokecolor="#3090c4" strokeweight=".5pt">
                <v:path arrowok="t"/>
                <v:textbox style="mso-fit-shape-to-text:t" inset=",0">
                  <w:txbxContent>
                    <w:p w:rsidR="006D58CF" w:rsidRPr="0051237E" w:rsidRDefault="006D58CF" w:rsidP="00BC4EC1">
                      <w:pPr>
                        <w:pStyle w:val="FigureandTableTitle"/>
                        <w:spacing w:before="120"/>
                      </w:pPr>
                      <w:r w:rsidRPr="0051237E">
                        <w:t>Making web access accessible</w:t>
                      </w:r>
                    </w:p>
                    <w:p w:rsidR="006D58CF" w:rsidRDefault="006D58CF" w:rsidP="00BC4EC1">
                      <w:pPr>
                        <w:pStyle w:val="Boxtext"/>
                      </w:pPr>
                      <w:r>
                        <w:t>Arlington County passed a language access resolution in 2004, with a key assistance and monitoring role provided by the Office of Human Rights and authority falling to the county manager. Arlington offers some promising practices on website accessibility for LEP/NEP residents, geared in particular for Spanish-speaking residents,</w:t>
                      </w:r>
                      <w:r w:rsidRPr="0051237E">
                        <w:t xml:space="preserve"> who are the </w:t>
                      </w:r>
                      <w:r>
                        <w:t>county’s single largest language need group. Spanish-language website resources are centralized as a mirror page to the main county website. There are gaps in providing translation of all website material, but lessons can be drawn on easy accessibility.</w:t>
                      </w:r>
                    </w:p>
                  </w:txbxContent>
                </v:textbox>
                <w10:wrap type="square" side="left" anchorx="page"/>
              </v:shape>
            </w:pict>
          </mc:Fallback>
        </mc:AlternateContent>
      </w:r>
      <w:r w:rsidR="00BC4EC1" w:rsidRPr="00C30769">
        <w:t xml:space="preserve">OHR and agencies should continue to actively cooperate and involve DCLAC/MLOV and the </w:t>
      </w:r>
      <w:r w:rsidR="00BC4EC1">
        <w:t>m</w:t>
      </w:r>
      <w:r w:rsidR="00BC4EC1" w:rsidRPr="00C30769">
        <w:t>ayor’s constituent offices so community engagement grows, particularly for less-established language communities.</w:t>
      </w:r>
    </w:p>
    <w:p w:rsidR="00BC4EC1" w:rsidRPr="00C30769" w:rsidRDefault="00BC4EC1" w:rsidP="00BC4EC1">
      <w:pPr>
        <w:pStyle w:val="ListBullet"/>
        <w:spacing w:after="240"/>
        <w:contextualSpacing w:val="0"/>
      </w:pPr>
      <w:r w:rsidRPr="00C30769">
        <w:t>Engaging the LEP/NEP users in public fora and through advertising campaigns should continue, complemented by a focus on centralizing resources for LEP/NEP residents in an accessible, modern format such as web or smart phone resources.</w:t>
      </w:r>
    </w:p>
    <w:p w:rsidR="00BC4EC1" w:rsidRPr="00C30769" w:rsidRDefault="00BC4EC1" w:rsidP="00BC4EC1">
      <w:pPr>
        <w:pStyle w:val="ListBullet"/>
        <w:spacing w:after="240"/>
        <w:contextualSpacing w:val="0"/>
      </w:pPr>
      <w:r w:rsidRPr="00C30769">
        <w:t>Web investments should take into account best practices such as stand-alone URLs, quality control on translations, and so on.</w:t>
      </w:r>
      <w:r>
        <w:rPr>
          <w:rStyle w:val="EndnoteReference"/>
        </w:rPr>
        <w:endnoteReference w:id="28"/>
      </w:r>
      <w:r w:rsidRPr="00C30769">
        <w:t xml:space="preserve"> </w:t>
      </w:r>
    </w:p>
    <w:p w:rsidR="00BC4EC1" w:rsidRDefault="00BC4EC1" w:rsidP="00BC4EC1">
      <w:pPr>
        <w:pStyle w:val="Heading2"/>
      </w:pPr>
      <w:bookmarkStart w:id="25" w:name="_Toc384741727"/>
      <w:r w:rsidRPr="007554B4">
        <w:t>Continue Transparent Monitoring Process</w:t>
      </w:r>
      <w:bookmarkEnd w:id="25"/>
    </w:p>
    <w:p w:rsidR="00BC4EC1" w:rsidRPr="00C30769" w:rsidRDefault="00BC4EC1" w:rsidP="00BC4EC1">
      <w:pPr>
        <w:pStyle w:val="ListBullet"/>
        <w:spacing w:after="240"/>
        <w:contextualSpacing w:val="0"/>
      </w:pPr>
      <w:r w:rsidRPr="00C30769">
        <w:t xml:space="preserve">Consider </w:t>
      </w:r>
      <w:r>
        <w:t xml:space="preserve">stakeholder </w:t>
      </w:r>
      <w:r w:rsidRPr="00C30769">
        <w:t>suggestions and feedback on the monitoring process.</w:t>
      </w:r>
    </w:p>
    <w:p w:rsidR="00BC4EC1" w:rsidRPr="00C30769" w:rsidRDefault="00BC4EC1" w:rsidP="00BC4EC1">
      <w:pPr>
        <w:pStyle w:val="ListBullet"/>
        <w:spacing w:after="240"/>
        <w:contextualSpacing w:val="0"/>
      </w:pPr>
      <w:r w:rsidRPr="00C30769">
        <w:t xml:space="preserve">Consider modifications to the reporting process in dialogue with LACs, the DCLAC, and </w:t>
      </w:r>
      <w:r>
        <w:t>m</w:t>
      </w:r>
      <w:r w:rsidRPr="00C30769">
        <w:t xml:space="preserve">ayor’s </w:t>
      </w:r>
      <w:r>
        <w:t>o</w:t>
      </w:r>
      <w:r w:rsidRPr="00C30769">
        <w:t>ffices.</w:t>
      </w:r>
    </w:p>
    <w:p w:rsidR="00BC4EC1" w:rsidRPr="00C30769" w:rsidRDefault="00BC4EC1" w:rsidP="00BC4EC1">
      <w:pPr>
        <w:pStyle w:val="ListBullet"/>
        <w:spacing w:after="240"/>
        <w:contextualSpacing w:val="0"/>
      </w:pPr>
      <w:r w:rsidRPr="00C30769">
        <w:t>Provide LACS further education on the rationale of BLAP revisions and the current reporting structure and requirements.</w:t>
      </w:r>
    </w:p>
    <w:p w:rsidR="00BC4EC1" w:rsidRPr="007554B4" w:rsidRDefault="00BC4EC1" w:rsidP="00BC4EC1">
      <w:pPr>
        <w:pStyle w:val="Heading2"/>
      </w:pPr>
      <w:bookmarkStart w:id="26" w:name="_Toc384741728"/>
      <w:r w:rsidRPr="007554B4">
        <w:t>Examine Enforcement Possibilities</w:t>
      </w:r>
      <w:bookmarkEnd w:id="26"/>
    </w:p>
    <w:p w:rsidR="00BC4EC1" w:rsidRPr="00C30769" w:rsidRDefault="00BC4EC1" w:rsidP="00BC4EC1">
      <w:pPr>
        <w:pStyle w:val="ListBullet"/>
        <w:spacing w:after="240"/>
        <w:contextualSpacing w:val="0"/>
      </w:pPr>
      <w:r w:rsidRPr="00C30769">
        <w:t>Consider the objections to the current enforcement process and explore possibilities for how to add “teeth” to the Language Access Act.</w:t>
      </w:r>
    </w:p>
    <w:p w:rsidR="00BC4EC1" w:rsidRPr="00C30769" w:rsidRDefault="00BC4EC1" w:rsidP="00BC4EC1">
      <w:pPr>
        <w:pStyle w:val="ListBullet"/>
        <w:spacing w:after="240"/>
        <w:contextualSpacing w:val="0"/>
      </w:pPr>
      <w:r w:rsidRPr="00C30769">
        <w:t>Continue attempts to increase the transparency of the individual complaints process.</w:t>
      </w:r>
    </w:p>
    <w:p w:rsidR="00BC4EC1" w:rsidRPr="00C30769" w:rsidRDefault="00BC4EC1" w:rsidP="00BC4EC1">
      <w:pPr>
        <w:pStyle w:val="ListBullet"/>
        <w:spacing w:after="240"/>
        <w:contextualSpacing w:val="0"/>
      </w:pPr>
      <w:r w:rsidRPr="00C30769">
        <w:t xml:space="preserve">Consider reporting informal complaints that are reported to agency staff, </w:t>
      </w:r>
      <w:r>
        <w:t>m</w:t>
      </w:r>
      <w:r w:rsidRPr="00C30769">
        <w:t>ayor’s constituent offices, DCLAC</w:t>
      </w:r>
      <w:r>
        <w:t>,</w:t>
      </w:r>
      <w:r w:rsidRPr="00C30769">
        <w:t xml:space="preserve"> and CBOs but that do not go through the </w:t>
      </w:r>
      <w:r>
        <w:t xml:space="preserve">full </w:t>
      </w:r>
      <w:r w:rsidRPr="00C30769">
        <w:t>OHR investigation process.</w:t>
      </w:r>
    </w:p>
    <w:p w:rsidR="00BC4EC1" w:rsidRDefault="00BC4EC1" w:rsidP="00BC4EC1">
      <w:pPr>
        <w:pStyle w:val="ListBullet"/>
        <w:spacing w:after="240"/>
        <w:contextualSpacing w:val="0"/>
      </w:pPr>
      <w:r w:rsidRPr="00C30769">
        <w:t>Strive for timely processing of individual complaints</w:t>
      </w:r>
      <w:r>
        <w:t>,</w:t>
      </w:r>
      <w:r w:rsidRPr="00C30769">
        <w:t xml:space="preserve"> and reduce barriers to individuals in order to make sure that all complaints are investigated.</w:t>
      </w:r>
    </w:p>
    <w:p w:rsidR="00BC4EC1" w:rsidRPr="0051237E" w:rsidRDefault="00BC4EC1" w:rsidP="00BC4EC1">
      <w:pPr>
        <w:pStyle w:val="Heading1"/>
      </w:pPr>
      <w:bookmarkStart w:id="27" w:name="_Toc384741729"/>
      <w:r w:rsidRPr="0051237E">
        <w:t>Summary</w:t>
      </w:r>
      <w:bookmarkEnd w:id="27"/>
    </w:p>
    <w:p w:rsidR="00BC4EC1" w:rsidRPr="00F14828" w:rsidRDefault="00BC4EC1" w:rsidP="00BC4EC1">
      <w:pPr>
        <w:pStyle w:val="BodyText"/>
      </w:pPr>
      <w:r w:rsidRPr="00F14828">
        <w:t>This report provide</w:t>
      </w:r>
      <w:r>
        <w:t>s</w:t>
      </w:r>
      <w:r w:rsidRPr="00F14828">
        <w:t xml:space="preserve"> an overview of the District</w:t>
      </w:r>
      <w:r>
        <w:t xml:space="preserve"> of Columbia’s</w:t>
      </w:r>
      <w:r w:rsidRPr="00F14828">
        <w:t xml:space="preserve"> Language Access Program and LEP/NEP population in the context of the city’s diverse population and global stature. District agencies are challenged to meet a diverse set of language needs in serving the </w:t>
      </w:r>
      <w:r>
        <w:t xml:space="preserve">5 percent </w:t>
      </w:r>
      <w:r w:rsidRPr="00F14828">
        <w:t xml:space="preserve">of District residents with limited English proficiency. Speaking primarily Spanish, but also a wide range of languages including Amharic/Ethiopian, French, Chinese, Filipino/Tagalog, German, </w:t>
      </w:r>
      <w:proofErr w:type="spellStart"/>
      <w:r w:rsidRPr="00F14828">
        <w:t>Kru</w:t>
      </w:r>
      <w:proofErr w:type="spellEnd"/>
      <w:r w:rsidRPr="00F14828">
        <w:t>,</w:t>
      </w:r>
      <w:r w:rsidRPr="00F14828">
        <w:rPr>
          <w:vertAlign w:val="superscript"/>
        </w:rPr>
        <w:t xml:space="preserve"> </w:t>
      </w:r>
      <w:r w:rsidRPr="00F14828">
        <w:t>Italian, Portuguese, and Vietnamese, the divers</w:t>
      </w:r>
      <w:r>
        <w:t>e</w:t>
      </w:r>
      <w:r w:rsidRPr="00F14828">
        <w:t xml:space="preserve"> LEP/NEP population in the District and in the greater DC area presents a challenge to agencies seeking to serve the language needs of their clients. </w:t>
      </w:r>
    </w:p>
    <w:p w:rsidR="00BC4EC1" w:rsidRDefault="00BC4EC1" w:rsidP="00BC4EC1">
      <w:pPr>
        <w:pStyle w:val="BodyTextFirstIndent"/>
      </w:pPr>
      <w:r w:rsidRPr="0051237E">
        <w:t xml:space="preserve">To meet these needs, stakeholders recommend that the District consider investing further resources into the provision of high-quality services informed by rigorously collected and analyzed data. Next steps </w:t>
      </w:r>
      <w:r>
        <w:t>c</w:t>
      </w:r>
      <w:r w:rsidRPr="0051237E">
        <w:t xml:space="preserve">ould </w:t>
      </w:r>
      <w:r>
        <w:t xml:space="preserve">including </w:t>
      </w:r>
      <w:r w:rsidRPr="0051237E">
        <w:t xml:space="preserve">provide further assistance in interpreting both </w:t>
      </w:r>
      <w:r>
        <w:t>c</w:t>
      </w:r>
      <w:r w:rsidRPr="0051237E">
        <w:t>ensus statistics as well as usage data, and continu</w:t>
      </w:r>
      <w:r>
        <w:t>ing</w:t>
      </w:r>
      <w:r w:rsidRPr="0051237E">
        <w:t xml:space="preserve"> to encourage agencies to collect consistent information about their current and potential client base as well as explore additional </w:t>
      </w:r>
      <w:r>
        <w:t xml:space="preserve">data </w:t>
      </w:r>
      <w:r w:rsidRPr="0051237E">
        <w:t>sources.</w:t>
      </w:r>
      <w:r>
        <w:t xml:space="preserve"> </w:t>
      </w:r>
      <w:r w:rsidRPr="009013F2">
        <w:t>Other next steps should include careful</w:t>
      </w:r>
      <w:r>
        <w:t xml:space="preserve"> consideration of bilingual personnel resources and recruitment and retention practices, and continued efforts to strive to improve language access services provided by agencies. Efforts to ensure quality control, engage the LEP/NEP community, and fairly and transparently monitor and enforce the requirements of the Language Access Act should continue and take key stakeholder perspectives into account. </w:t>
      </w:r>
    </w:p>
    <w:p w:rsidR="00BC4EC1" w:rsidRDefault="00BC4EC1" w:rsidP="00BC4EC1">
      <w:pPr>
        <w:pStyle w:val="BodyTextFirstIndent"/>
      </w:pPr>
      <w:r>
        <w:t>The diversity of customer bases and resources available across different agencies poses a challenge to coordination and monitoring. It is crucial to keep in mind that while coordination across agencies must continue, one size does not fit all when it comes to language access. Agencies should strive to tailor language access resources to their particular client and potential client needs.</w:t>
      </w:r>
    </w:p>
    <w:p w:rsidR="00BC4EC1" w:rsidRDefault="00BC4EC1" w:rsidP="00BC4EC1">
      <w:pPr>
        <w:pStyle w:val="BodyTextFirstIndent"/>
      </w:pPr>
      <w:r>
        <w:t xml:space="preserve">The Language Access Program builds on a strong legislative base and a vibrant community of stakeholders that contribute to assessing, supporting, and monitoring services to the District’s diverse LEP/NEP population. </w:t>
      </w:r>
      <w:proofErr w:type="spellStart"/>
      <w:r>
        <w:t>Decisionmakers</w:t>
      </w:r>
      <w:proofErr w:type="spellEnd"/>
      <w:r>
        <w:t xml:space="preserve"> and stakeholders should continue to work together to improve the Language Access Program and strive to ensure that the District provides necessary supports for its diverse population. </w:t>
      </w:r>
    </w:p>
    <w:p w:rsidR="00BC4EC1" w:rsidRDefault="00BC4EC1">
      <w:pPr>
        <w:spacing w:after="200" w:line="276" w:lineRule="auto"/>
        <w:jc w:val="left"/>
        <w:rPr>
          <w:rFonts w:ascii="Gill Sans MT" w:eastAsia="MS Gothic" w:hAnsi="Gill Sans MT"/>
          <w:b/>
          <w:bCs/>
          <w:color w:val="3090C4"/>
          <w:sz w:val="32"/>
          <w:szCs w:val="32"/>
        </w:rPr>
      </w:pPr>
      <w:r>
        <w:br w:type="page"/>
      </w:r>
    </w:p>
    <w:p w:rsidR="00BC4EC1" w:rsidRDefault="00BC4EC1" w:rsidP="00BC4EC1">
      <w:pPr>
        <w:pStyle w:val="Heading1"/>
      </w:pPr>
      <w:bookmarkStart w:id="28" w:name="_Toc384741730"/>
      <w:r w:rsidRPr="0051237E">
        <w:t xml:space="preserve">Appendix </w:t>
      </w:r>
      <w:r>
        <w:t>A.</w:t>
      </w:r>
      <w:r w:rsidRPr="0051237E">
        <w:t xml:space="preserve"> Limitations of the American Community Survey</w:t>
      </w:r>
      <w:bookmarkEnd w:id="28"/>
    </w:p>
    <w:p w:rsidR="00BC4EC1" w:rsidRDefault="00BC4EC1" w:rsidP="00BC4EC1">
      <w:pPr>
        <w:pStyle w:val="BodyText"/>
        <w:rPr>
          <w:rStyle w:val="EndnoteReference"/>
          <w:rFonts w:eastAsia="MS Gothic"/>
          <w:b/>
          <w:bCs/>
          <w:color w:val="3090C4"/>
          <w:szCs w:val="32"/>
          <w:highlight w:val="yellow"/>
        </w:rPr>
      </w:pPr>
      <w:r w:rsidRPr="0051237E">
        <w:t>The US Census Bureau, which runs the ACS, expends considerable time and effort attempting to reach a sample of Americans that represents the full diversity of the country, including immigrants and those with limited English proficiency. First, to</w:t>
      </w:r>
      <w:r w:rsidRPr="0051237E">
        <w:rPr>
          <w:i/>
        </w:rPr>
        <w:t xml:space="preserve"> </w:t>
      </w:r>
      <w:r w:rsidRPr="0051237E">
        <w:t>protect against non-response by LEP/NEPs, they maintain a language assistance program, which translates documents into multiple languages, recruits and trains bilingual interviewers and provides telephone or Internet assistance in multiple languages (US Census Bureau 2009). The Census Bureau also conducts research to understand the census-taking experiences of limited English proficient individuals in order to make improvements (see, for example, Whitworth 2001 or Pan and Lubkemann 2012). The Census Bureau analyzed the share of households that do not answer the ACS because of language barriers. Nation-wide, this share is essentially 0 percent. There are only two US counties (both outside of the DC metro area) where language problems lead to more than 1 percent of households failing to answer the survey (Griffin and Broadwater 2005).</w:t>
      </w:r>
    </w:p>
    <w:p w:rsidR="00BC4EC1" w:rsidRPr="0051237E" w:rsidRDefault="00BC4EC1" w:rsidP="00BC4EC1">
      <w:pPr>
        <w:pStyle w:val="BodyTextFirstIndent"/>
      </w:pPr>
      <w:r w:rsidRPr="0051237E">
        <w:t>Undercount rates for other Census data (the 2010 Decennial Census) is estimated at around 1.5 percent for the Hispanic population, 2.1 percent for the black population, and about 0.1 percent for the Asian population nationwide.</w:t>
      </w:r>
      <w:r>
        <w:rPr>
          <w:rStyle w:val="EndnoteReference"/>
        </w:rPr>
        <w:endnoteReference w:id="29"/>
      </w:r>
      <w:r w:rsidRPr="0051237E">
        <w:t xml:space="preserve"> Demographers estimate that this share is larger for immigrants. Some estimate an undercount of about 10 percent for undocumented immigrants and 2.5 percent for legal </w:t>
      </w:r>
      <w:r w:rsidRPr="00AB3898">
        <w:t xml:space="preserve">immigrants </w:t>
      </w:r>
      <w:r w:rsidRPr="00A05270">
        <w:t>(</w:t>
      </w:r>
      <w:proofErr w:type="spellStart"/>
      <w:r w:rsidRPr="00A05270">
        <w:t>Hoefer</w:t>
      </w:r>
      <w:proofErr w:type="spellEnd"/>
      <w:r w:rsidRPr="00A05270">
        <w:t xml:space="preserve">, </w:t>
      </w:r>
      <w:proofErr w:type="spellStart"/>
      <w:r w:rsidRPr="00A05270">
        <w:t>Rytina</w:t>
      </w:r>
      <w:proofErr w:type="spellEnd"/>
      <w:r w:rsidRPr="00A05270">
        <w:t>, and Baker 2011).</w:t>
      </w:r>
      <w:r>
        <w:t xml:space="preserve"> </w:t>
      </w:r>
      <w:r w:rsidRPr="0051237E">
        <w:t xml:space="preserve">Evidence suggests the Census is getting better at surveying immigrant households (Passel, Cohn, and Gonzalez-Barrera 2013). Sampling </w:t>
      </w:r>
      <w:r w:rsidRPr="0051237E">
        <w:rPr>
          <w:rStyle w:val="EndnoteReference"/>
          <w:vertAlign w:val="baseline"/>
        </w:rPr>
        <w:t>weights are</w:t>
      </w:r>
      <w:r w:rsidRPr="0051237E">
        <w:t xml:space="preserve"> provided and</w:t>
      </w:r>
      <w:r w:rsidRPr="0051237E">
        <w:rPr>
          <w:rStyle w:val="EndnoteReference"/>
          <w:vertAlign w:val="baseline"/>
        </w:rPr>
        <w:t xml:space="preserve"> u</w:t>
      </w:r>
      <w:r w:rsidRPr="0051237E">
        <w:t>sed in this analysis</w:t>
      </w:r>
      <w:r w:rsidRPr="0051237E">
        <w:rPr>
          <w:rStyle w:val="EndnoteReference"/>
          <w:vertAlign w:val="baseline"/>
        </w:rPr>
        <w:t xml:space="preserve"> </w:t>
      </w:r>
      <w:r w:rsidRPr="0051237E">
        <w:t>t</w:t>
      </w:r>
      <w:r w:rsidRPr="0051237E">
        <w:rPr>
          <w:rStyle w:val="EndnoteReference"/>
          <w:vertAlign w:val="baseline"/>
        </w:rPr>
        <w:t xml:space="preserve">o </w:t>
      </w:r>
      <w:r w:rsidRPr="0051237E">
        <w:t xml:space="preserve">help </w:t>
      </w:r>
      <w:r w:rsidRPr="0051237E">
        <w:rPr>
          <w:rStyle w:val="EndnoteReference"/>
          <w:vertAlign w:val="baseline"/>
        </w:rPr>
        <w:t>correct for under-sampling of certain populations at the state and local levels.</w:t>
      </w:r>
    </w:p>
    <w:p w:rsidR="00BC4EC1" w:rsidRPr="0051237E" w:rsidRDefault="00BC4EC1" w:rsidP="00BC4EC1">
      <w:pPr>
        <w:rPr>
          <w:rFonts w:eastAsia="Calibri"/>
          <w:b/>
        </w:rPr>
      </w:pPr>
      <w:r w:rsidRPr="0051237E">
        <w:rPr>
          <w:b/>
        </w:rPr>
        <w:br w:type="page"/>
      </w:r>
    </w:p>
    <w:p w:rsidR="00BC4EC1" w:rsidRDefault="00BC4EC1" w:rsidP="00BC4EC1">
      <w:pPr>
        <w:pStyle w:val="Heading1"/>
      </w:pPr>
      <w:bookmarkStart w:id="29" w:name="_Toc384741731"/>
      <w:r w:rsidRPr="007F75A0">
        <w:t xml:space="preserve">Appendix </w:t>
      </w:r>
      <w:r>
        <w:t>B.</w:t>
      </w:r>
      <w:r w:rsidRPr="007F75A0">
        <w:t xml:space="preserve"> </w:t>
      </w:r>
      <w:r w:rsidRPr="00C4732B">
        <w:t xml:space="preserve">Agencies Required to </w:t>
      </w:r>
      <w:r w:rsidRPr="00AE7374">
        <w:t>Conform</w:t>
      </w:r>
      <w:r w:rsidRPr="007F75A0">
        <w:t xml:space="preserve"> to </w:t>
      </w:r>
      <w:r>
        <w:t xml:space="preserve">the </w:t>
      </w:r>
      <w:r w:rsidRPr="007F75A0">
        <w:t>Language Access Act by Compliance Date</w:t>
      </w:r>
      <w:bookmarkEnd w:id="29"/>
    </w:p>
    <w:p w:rsidR="00BC4EC1" w:rsidRPr="00F337E7" w:rsidRDefault="00BC4EC1" w:rsidP="00BC4EC1">
      <w:pPr>
        <w:pStyle w:val="Heading2"/>
      </w:pPr>
      <w:bookmarkStart w:id="30" w:name="_Toc258456741"/>
      <w:bookmarkStart w:id="31" w:name="_Toc384741732"/>
      <w:r w:rsidRPr="00F337E7">
        <w:t>Phase 1 (April 4, 2004)</w:t>
      </w:r>
      <w:bookmarkEnd w:id="30"/>
      <w:bookmarkEnd w:id="31"/>
    </w:p>
    <w:p w:rsidR="00BC4EC1" w:rsidRPr="00F337E7" w:rsidRDefault="00BC4EC1" w:rsidP="00BC4EC1">
      <w:pPr>
        <w:pStyle w:val="ListBullet"/>
      </w:pPr>
      <w:r w:rsidRPr="00F337E7">
        <w:t>Department of Health</w:t>
      </w:r>
    </w:p>
    <w:p w:rsidR="00BC4EC1" w:rsidRPr="00F337E7" w:rsidRDefault="00BC4EC1" w:rsidP="00BC4EC1">
      <w:pPr>
        <w:pStyle w:val="ListBullet"/>
      </w:pPr>
      <w:r w:rsidRPr="00F337E7">
        <w:t>Department of Human Services</w:t>
      </w:r>
    </w:p>
    <w:p w:rsidR="00BC4EC1" w:rsidRPr="00F337E7" w:rsidRDefault="00BC4EC1" w:rsidP="00BC4EC1">
      <w:pPr>
        <w:pStyle w:val="ListBullet"/>
      </w:pPr>
      <w:r w:rsidRPr="00F337E7">
        <w:t>Department of Employment Services</w:t>
      </w:r>
    </w:p>
    <w:p w:rsidR="00BC4EC1" w:rsidRPr="00F337E7" w:rsidRDefault="00BC4EC1" w:rsidP="00BC4EC1">
      <w:pPr>
        <w:pStyle w:val="ListBullet"/>
      </w:pPr>
      <w:r w:rsidRPr="00F337E7">
        <w:t>Metropolitan Police Department</w:t>
      </w:r>
    </w:p>
    <w:p w:rsidR="00BC4EC1" w:rsidRPr="00F337E7" w:rsidRDefault="00BC4EC1" w:rsidP="00BC4EC1">
      <w:pPr>
        <w:pStyle w:val="ListBullet"/>
      </w:pPr>
      <w:r w:rsidRPr="00F337E7">
        <w:t>District of Columbia Public School System</w:t>
      </w:r>
    </w:p>
    <w:p w:rsidR="00BC4EC1" w:rsidRPr="00F337E7" w:rsidRDefault="00BC4EC1" w:rsidP="00BC4EC1">
      <w:pPr>
        <w:pStyle w:val="ListBullet"/>
      </w:pPr>
      <w:r w:rsidRPr="00F337E7">
        <w:t>Office of Planning</w:t>
      </w:r>
    </w:p>
    <w:p w:rsidR="00BC4EC1" w:rsidRPr="00F337E7" w:rsidRDefault="00BC4EC1" w:rsidP="00BC4EC1">
      <w:pPr>
        <w:pStyle w:val="ListBullet"/>
      </w:pPr>
      <w:r w:rsidRPr="00F337E7">
        <w:t>Fire and Emergency Medical Services</w:t>
      </w:r>
    </w:p>
    <w:p w:rsidR="00BC4EC1" w:rsidRDefault="00BC4EC1" w:rsidP="00BC4EC1">
      <w:pPr>
        <w:pStyle w:val="ListBullet"/>
      </w:pPr>
      <w:r w:rsidRPr="00F337E7">
        <w:t>Office of Human Rights</w:t>
      </w:r>
    </w:p>
    <w:p w:rsidR="00BC4EC1" w:rsidRPr="00F337E7" w:rsidRDefault="00BC4EC1" w:rsidP="00BC4EC1">
      <w:pPr>
        <w:pStyle w:val="Heading2"/>
      </w:pPr>
      <w:bookmarkStart w:id="32" w:name="_Toc258456742"/>
      <w:bookmarkStart w:id="33" w:name="_Toc384741733"/>
      <w:r w:rsidRPr="00F337E7">
        <w:t>Phase 2 (October 1, 2004)</w:t>
      </w:r>
      <w:bookmarkEnd w:id="32"/>
      <w:bookmarkEnd w:id="33"/>
    </w:p>
    <w:p w:rsidR="00BC4EC1" w:rsidRPr="00F337E7" w:rsidRDefault="00BC4EC1" w:rsidP="00BC4EC1">
      <w:pPr>
        <w:pStyle w:val="ListBullet"/>
      </w:pPr>
      <w:r w:rsidRPr="00F337E7">
        <w:t>Department of Housing and Community Development</w:t>
      </w:r>
    </w:p>
    <w:p w:rsidR="00BC4EC1" w:rsidRPr="00F337E7" w:rsidRDefault="00BC4EC1" w:rsidP="00BC4EC1">
      <w:pPr>
        <w:pStyle w:val="ListBullet"/>
      </w:pPr>
      <w:r w:rsidRPr="00F337E7">
        <w:t>Department of Mental Health</w:t>
      </w:r>
    </w:p>
    <w:p w:rsidR="00BC4EC1" w:rsidRPr="00F337E7" w:rsidRDefault="00BC4EC1" w:rsidP="00BC4EC1">
      <w:pPr>
        <w:pStyle w:val="ListBullet"/>
      </w:pPr>
      <w:r w:rsidRPr="00F337E7">
        <w:t>Department of Motor Vehicles</w:t>
      </w:r>
    </w:p>
    <w:p w:rsidR="00BC4EC1" w:rsidRPr="00F337E7" w:rsidRDefault="00BC4EC1" w:rsidP="00BC4EC1">
      <w:pPr>
        <w:pStyle w:val="ListBullet"/>
      </w:pPr>
      <w:r w:rsidRPr="00F337E7">
        <w:t>Child and Family Services Agency</w:t>
      </w:r>
    </w:p>
    <w:p w:rsidR="00BC4EC1" w:rsidRPr="00F337E7" w:rsidRDefault="00BC4EC1" w:rsidP="00BC4EC1">
      <w:pPr>
        <w:pStyle w:val="ListBullet"/>
      </w:pPr>
      <w:r w:rsidRPr="00F337E7">
        <w:t>Alcoholic Beverage Regulation Administration</w:t>
      </w:r>
    </w:p>
    <w:p w:rsidR="00BC4EC1" w:rsidRDefault="00BC4EC1" w:rsidP="00BC4EC1">
      <w:pPr>
        <w:pStyle w:val="ListBullet"/>
      </w:pPr>
      <w:r w:rsidRPr="00F337E7">
        <w:t>Department of Consumer and Regulatory Affairs</w:t>
      </w:r>
    </w:p>
    <w:p w:rsidR="00BC4EC1" w:rsidRPr="00F337E7" w:rsidRDefault="00BC4EC1" w:rsidP="00BC4EC1">
      <w:pPr>
        <w:pStyle w:val="Heading2"/>
      </w:pPr>
      <w:bookmarkStart w:id="34" w:name="_Toc258456743"/>
      <w:bookmarkStart w:id="35" w:name="_Toc384741734"/>
      <w:r w:rsidRPr="00F337E7">
        <w:t>Phase 3 (October 1, 2005)</w:t>
      </w:r>
      <w:bookmarkEnd w:id="34"/>
      <w:bookmarkEnd w:id="35"/>
    </w:p>
    <w:p w:rsidR="00BC4EC1" w:rsidRPr="00F337E7" w:rsidRDefault="00BC4EC1" w:rsidP="00BC4EC1">
      <w:pPr>
        <w:pStyle w:val="ListBullet"/>
      </w:pPr>
      <w:r w:rsidRPr="00F337E7">
        <w:t>Department of Parks and Recreation</w:t>
      </w:r>
    </w:p>
    <w:p w:rsidR="00BC4EC1" w:rsidRPr="00F337E7" w:rsidRDefault="00BC4EC1" w:rsidP="00BC4EC1">
      <w:pPr>
        <w:pStyle w:val="ListBullet"/>
      </w:pPr>
      <w:r w:rsidRPr="00F337E7">
        <w:t>Office on Aging</w:t>
      </w:r>
    </w:p>
    <w:p w:rsidR="00BC4EC1" w:rsidRPr="00F337E7" w:rsidRDefault="00BC4EC1" w:rsidP="00BC4EC1">
      <w:pPr>
        <w:pStyle w:val="ListBullet"/>
      </w:pPr>
      <w:r w:rsidRPr="00F337E7">
        <w:t>District of Columbia Public Library</w:t>
      </w:r>
    </w:p>
    <w:p w:rsidR="00BC4EC1" w:rsidRPr="00F337E7" w:rsidRDefault="00BC4EC1" w:rsidP="00BC4EC1">
      <w:pPr>
        <w:pStyle w:val="ListBullet"/>
      </w:pPr>
      <w:r w:rsidRPr="00F337E7">
        <w:t>Office of Personnel</w:t>
      </w:r>
    </w:p>
    <w:p w:rsidR="00BC4EC1" w:rsidRPr="00F337E7" w:rsidRDefault="00BC4EC1" w:rsidP="00BC4EC1">
      <w:pPr>
        <w:pStyle w:val="ListBullet"/>
      </w:pPr>
      <w:r w:rsidRPr="00F337E7">
        <w:t>Office of Contracting and Procurement</w:t>
      </w:r>
    </w:p>
    <w:p w:rsidR="00BC4EC1" w:rsidRPr="00F337E7" w:rsidRDefault="00BC4EC1" w:rsidP="00BC4EC1">
      <w:pPr>
        <w:pStyle w:val="ListBullet"/>
      </w:pPr>
      <w:r w:rsidRPr="00F337E7">
        <w:t>Department of Corrections</w:t>
      </w:r>
    </w:p>
    <w:p w:rsidR="00BC4EC1" w:rsidRPr="00F337E7" w:rsidRDefault="00BC4EC1" w:rsidP="00BC4EC1">
      <w:pPr>
        <w:pStyle w:val="ListBullet"/>
      </w:pPr>
      <w:r w:rsidRPr="00F337E7">
        <w:t>Department of Public Works</w:t>
      </w:r>
    </w:p>
    <w:p w:rsidR="00BC4EC1" w:rsidRDefault="00BC4EC1" w:rsidP="00BC4EC1">
      <w:pPr>
        <w:pStyle w:val="ListBullet"/>
      </w:pPr>
      <w:r w:rsidRPr="00F337E7">
        <w:t>Office of Tax and Revenue</w:t>
      </w:r>
    </w:p>
    <w:p w:rsidR="00BC4EC1" w:rsidRPr="00F337E7" w:rsidRDefault="00BC4EC1" w:rsidP="00BC4EC1">
      <w:pPr>
        <w:pStyle w:val="Heading2"/>
      </w:pPr>
      <w:bookmarkStart w:id="36" w:name="_Toc258456744"/>
      <w:bookmarkStart w:id="37" w:name="_Toc384741735"/>
      <w:r w:rsidRPr="00F337E7">
        <w:t>Phase 4 (October 1, 2006)</w:t>
      </w:r>
      <w:bookmarkEnd w:id="36"/>
      <w:bookmarkEnd w:id="37"/>
    </w:p>
    <w:p w:rsidR="00BC4EC1" w:rsidRPr="00F337E7" w:rsidRDefault="00BC4EC1" w:rsidP="00BC4EC1">
      <w:pPr>
        <w:pStyle w:val="ListBullet"/>
      </w:pPr>
      <w:r w:rsidRPr="00F337E7">
        <w:t>DC Housing Authority</w:t>
      </w:r>
    </w:p>
    <w:p w:rsidR="00BC4EC1" w:rsidRPr="00F337E7" w:rsidRDefault="00BC4EC1" w:rsidP="00BC4EC1">
      <w:pPr>
        <w:pStyle w:val="ListBullet"/>
      </w:pPr>
      <w:r w:rsidRPr="00F337E7">
        <w:t>Office of the People’s Counsel</w:t>
      </w:r>
    </w:p>
    <w:p w:rsidR="00BC4EC1" w:rsidRPr="00F337E7" w:rsidRDefault="00BC4EC1" w:rsidP="00BC4EC1">
      <w:pPr>
        <w:pStyle w:val="ListBullet"/>
      </w:pPr>
      <w:r w:rsidRPr="00F337E7">
        <w:t>Homeland Security and Emergency Management Agency</w:t>
      </w:r>
    </w:p>
    <w:p w:rsidR="00BC4EC1" w:rsidRDefault="00BC4EC1" w:rsidP="00BC4EC1">
      <w:pPr>
        <w:pStyle w:val="ListBullet"/>
      </w:pPr>
      <w:r w:rsidRPr="00F337E7">
        <w:t>other covered entities</w:t>
      </w:r>
    </w:p>
    <w:p w:rsidR="00BC4EC1" w:rsidRDefault="00BC4EC1" w:rsidP="00BC4EC1">
      <w:pPr>
        <w:spacing w:line="276" w:lineRule="auto"/>
        <w:rPr>
          <w:rFonts w:eastAsia="Calibri"/>
          <w:szCs w:val="22"/>
        </w:rPr>
      </w:pPr>
      <w:r>
        <w:rPr>
          <w:rFonts w:eastAsia="Calibri"/>
          <w:szCs w:val="22"/>
        </w:rPr>
        <w:br w:type="page"/>
      </w:r>
    </w:p>
    <w:p w:rsidR="00BC4EC1" w:rsidRPr="00213DEE" w:rsidRDefault="00BC4EC1" w:rsidP="00BC4EC1">
      <w:pPr>
        <w:pStyle w:val="Heading1"/>
      </w:pPr>
      <w:bookmarkStart w:id="38" w:name="_Toc384741736"/>
      <w:r>
        <w:t>References</w:t>
      </w:r>
      <w:bookmarkEnd w:id="38"/>
    </w:p>
    <w:p w:rsidR="00BC4EC1" w:rsidRPr="0022206C" w:rsidRDefault="00BC4EC1" w:rsidP="00BC4EC1">
      <w:pPr>
        <w:pStyle w:val="Reference"/>
        <w:rPr>
          <w:rStyle w:val="Hyperlink"/>
        </w:rPr>
      </w:pPr>
      <w:r w:rsidRPr="0022206C">
        <w:rPr>
          <w:szCs w:val="20"/>
        </w:rPr>
        <w:t xml:space="preserve">American University Washington College of Law Immigrant Justice Clinic and D.C. Language Access Coalition (DCLAC). 2012. </w:t>
      </w:r>
      <w:r w:rsidRPr="00A05270">
        <w:rPr>
          <w:i/>
          <w:szCs w:val="20"/>
        </w:rPr>
        <w:t>Access Denied: The Unfulfilled Promise of the D.C. Language Access Act.</w:t>
      </w:r>
      <w:r w:rsidRPr="00EE4429">
        <w:rPr>
          <w:szCs w:val="20"/>
        </w:rPr>
        <w:t xml:space="preserve"> </w:t>
      </w:r>
      <w:r w:rsidRPr="00CF067E">
        <w:rPr>
          <w:szCs w:val="20"/>
        </w:rPr>
        <w:t xml:space="preserve">Washington, DC: American University Washington College of Law </w:t>
      </w:r>
      <w:hyperlink r:id="rId29" w:history="1">
        <w:r w:rsidRPr="0022206C">
          <w:t>http://www.wcl.american.edu/news/documents/AccessDenied.pdf</w:t>
        </w:r>
      </w:hyperlink>
      <w:r w:rsidRPr="0022206C">
        <w:t>.</w:t>
      </w:r>
    </w:p>
    <w:p w:rsidR="000C65D0" w:rsidRPr="00842702" w:rsidRDefault="000C65D0" w:rsidP="000C65D0">
      <w:pPr>
        <w:pStyle w:val="Reference"/>
        <w:rPr>
          <w:rStyle w:val="Hyperlink"/>
        </w:rPr>
      </w:pPr>
      <w:r w:rsidRPr="0077099F">
        <w:rPr>
          <w:rFonts w:eastAsia="Calibri"/>
        </w:rPr>
        <w:t>Arlington County Government</w:t>
      </w:r>
      <w:r>
        <w:rPr>
          <w:rFonts w:eastAsia="Calibri"/>
        </w:rPr>
        <w:t>.</w:t>
      </w:r>
      <w:r w:rsidRPr="0077099F">
        <w:rPr>
          <w:rFonts w:eastAsia="Calibri"/>
        </w:rPr>
        <w:t xml:space="preserve"> </w:t>
      </w:r>
      <w:proofErr w:type="spellStart"/>
      <w:r>
        <w:rPr>
          <w:rFonts w:eastAsia="Calibri"/>
        </w:rPr>
        <w:t>n.d.</w:t>
      </w:r>
      <w:proofErr w:type="spellEnd"/>
      <w:r>
        <w:rPr>
          <w:rFonts w:eastAsia="Calibri"/>
        </w:rPr>
        <w:t xml:space="preserve"> “</w:t>
      </w:r>
      <w:r w:rsidRPr="0077099F">
        <w:rPr>
          <w:rFonts w:eastAsia="Calibri"/>
        </w:rPr>
        <w:t>Limited English Proficiency Policy Implementation</w:t>
      </w:r>
      <w:r>
        <w:rPr>
          <w:rFonts w:eastAsia="Calibri"/>
        </w:rPr>
        <w:t>:</w:t>
      </w:r>
      <w:r w:rsidRPr="0077099F">
        <w:rPr>
          <w:rFonts w:eastAsia="Calibri"/>
        </w:rPr>
        <w:t xml:space="preserve"> County Manager’s Initiative to Enhance Accessibility of County Services to Persons with Limited English Proficiency, Fiscal Year 2011-2012.</w:t>
      </w:r>
      <w:r>
        <w:rPr>
          <w:rFonts w:eastAsia="Calibri"/>
        </w:rPr>
        <w:t>”</w:t>
      </w:r>
      <w:r w:rsidRPr="0077099F">
        <w:rPr>
          <w:rFonts w:eastAsia="Calibri"/>
        </w:rPr>
        <w:t xml:space="preserve"> </w:t>
      </w:r>
      <w:hyperlink r:id="rId30" w:history="1">
        <w:r w:rsidRPr="0077099F">
          <w:rPr>
            <w:rStyle w:val="Hyperlink"/>
            <w:szCs w:val="22"/>
          </w:rPr>
          <w:t>http://www.arlingtonva.us/departments/CountyManager/HumanRights/Limited%20English%20Proficiency%20Policy%20Implementation.pdf</w:t>
        </w:r>
      </w:hyperlink>
      <w:r w:rsidR="00D15681">
        <w:rPr>
          <w:rStyle w:val="Hyperlink"/>
          <w:szCs w:val="22"/>
        </w:rPr>
        <w:t>.</w:t>
      </w:r>
    </w:p>
    <w:p w:rsidR="00BC4EC1" w:rsidRPr="0022206C" w:rsidRDefault="00BC4EC1" w:rsidP="00BC4EC1">
      <w:pPr>
        <w:pStyle w:val="Reference"/>
      </w:pPr>
      <w:r w:rsidRPr="00C62725">
        <w:rPr>
          <w:rStyle w:val="Hyperlink"/>
          <w:color w:val="000000"/>
        </w:rPr>
        <w:t>Capps, R</w:t>
      </w:r>
      <w:r>
        <w:rPr>
          <w:rStyle w:val="Hyperlink"/>
          <w:color w:val="000000"/>
        </w:rPr>
        <w:t>andy</w:t>
      </w:r>
      <w:r w:rsidRPr="00C62725">
        <w:rPr>
          <w:rStyle w:val="Hyperlink"/>
          <w:color w:val="000000"/>
        </w:rPr>
        <w:t xml:space="preserve">, </w:t>
      </w:r>
      <w:r>
        <w:rPr>
          <w:rStyle w:val="Hyperlink"/>
          <w:color w:val="000000"/>
        </w:rPr>
        <w:t xml:space="preserve">Everett </w:t>
      </w:r>
      <w:r w:rsidRPr="00C62725">
        <w:rPr>
          <w:rStyle w:val="Hyperlink"/>
          <w:color w:val="000000"/>
        </w:rPr>
        <w:t xml:space="preserve">Henderson, </w:t>
      </w:r>
      <w:r>
        <w:rPr>
          <w:rStyle w:val="Hyperlink"/>
          <w:color w:val="000000"/>
        </w:rPr>
        <w:t xml:space="preserve">Jeffrey S. </w:t>
      </w:r>
      <w:r w:rsidRPr="00C62725">
        <w:rPr>
          <w:rStyle w:val="Hyperlink"/>
          <w:color w:val="000000"/>
        </w:rPr>
        <w:t xml:space="preserve">Passel, </w:t>
      </w:r>
      <w:r>
        <w:rPr>
          <w:rStyle w:val="Hyperlink"/>
          <w:color w:val="000000"/>
        </w:rPr>
        <w:t>and</w:t>
      </w:r>
      <w:r w:rsidRPr="00C62725">
        <w:rPr>
          <w:rStyle w:val="Hyperlink"/>
          <w:color w:val="000000"/>
        </w:rPr>
        <w:t xml:space="preserve"> </w:t>
      </w:r>
      <w:r>
        <w:rPr>
          <w:rStyle w:val="Hyperlink"/>
          <w:color w:val="000000"/>
        </w:rPr>
        <w:t xml:space="preserve">Michael </w:t>
      </w:r>
      <w:r w:rsidRPr="00C62725">
        <w:rPr>
          <w:rStyle w:val="Hyperlink"/>
          <w:color w:val="000000"/>
        </w:rPr>
        <w:t>Fix.</w:t>
      </w:r>
      <w:r>
        <w:rPr>
          <w:rStyle w:val="Hyperlink"/>
          <w:color w:val="000000"/>
        </w:rPr>
        <w:t xml:space="preserve"> 2006.</w:t>
      </w:r>
      <w:r w:rsidRPr="00C62725">
        <w:rPr>
          <w:rStyle w:val="Hyperlink"/>
          <w:color w:val="000000"/>
        </w:rPr>
        <w:t xml:space="preserve"> “Civic Contributions: Taxes Paid by Immigrants in the Washington, DC, Metr</w:t>
      </w:r>
      <w:r>
        <w:rPr>
          <w:rStyle w:val="Hyperlink"/>
          <w:color w:val="000000"/>
        </w:rPr>
        <w:t xml:space="preserve">opolitan Area.” Washington, DC: The Urban </w:t>
      </w:r>
      <w:r w:rsidRPr="0022206C">
        <w:rPr>
          <w:rStyle w:val="Hyperlink"/>
        </w:rPr>
        <w:t xml:space="preserve">Institute. </w:t>
      </w:r>
      <w:hyperlink r:id="rId31" w:history="1">
        <w:r w:rsidRPr="0022206C">
          <w:rPr>
            <w:rStyle w:val="Hyperlink"/>
          </w:rPr>
          <w:t>http://www.urban.org/publications/411338.html</w:t>
        </w:r>
      </w:hyperlink>
      <w:r>
        <w:rPr>
          <w:rStyle w:val="Hyperlink"/>
        </w:rPr>
        <w:t>.</w:t>
      </w:r>
    </w:p>
    <w:p w:rsidR="00BC4EC1" w:rsidRPr="00C30769" w:rsidRDefault="00BC4EC1" w:rsidP="00BC4EC1">
      <w:pPr>
        <w:pStyle w:val="Reference"/>
      </w:pPr>
      <w:proofErr w:type="spellStart"/>
      <w:r w:rsidRPr="00C30769">
        <w:t>Chatlosh</w:t>
      </w:r>
      <w:proofErr w:type="spellEnd"/>
      <w:r w:rsidRPr="00C30769">
        <w:t xml:space="preserve">, </w:t>
      </w:r>
      <w:r w:rsidRPr="00C62725">
        <w:t>Kelsey</w:t>
      </w:r>
      <w:r>
        <w:t xml:space="preserve">, and C. C. </w:t>
      </w:r>
      <w:proofErr w:type="spellStart"/>
      <w:r w:rsidRPr="00C30769">
        <w:t>Ayometzi</w:t>
      </w:r>
      <w:proofErr w:type="spellEnd"/>
      <w:r w:rsidRPr="00C30769">
        <w:t xml:space="preserve">. </w:t>
      </w:r>
      <w:r>
        <w:t xml:space="preserve">2013. </w:t>
      </w:r>
      <w:r w:rsidRPr="00C30769">
        <w:t>“Accessing and Providing: Frontline Voices on Language Access” Washington DC Executive Officer of the M</w:t>
      </w:r>
      <w:r>
        <w:t>ayor, Office on Latino Affairs.</w:t>
      </w:r>
    </w:p>
    <w:p w:rsidR="00BC4EC1" w:rsidRDefault="00BC4EC1" w:rsidP="00BC4EC1">
      <w:pPr>
        <w:pStyle w:val="Reference"/>
      </w:pPr>
      <w:r w:rsidRPr="00C30769">
        <w:t>Government of the District of Columbia Office of Human Rights</w:t>
      </w:r>
      <w:r>
        <w:t xml:space="preserve"> (OHR).</w:t>
      </w:r>
      <w:r w:rsidRPr="00C30769">
        <w:t xml:space="preserve"> </w:t>
      </w:r>
      <w:r>
        <w:t>2007</w:t>
      </w:r>
      <w:r w:rsidR="00D15681">
        <w:t>a</w:t>
      </w:r>
      <w:r>
        <w:t xml:space="preserve">. </w:t>
      </w:r>
      <w:r w:rsidRPr="00C30769">
        <w:rPr>
          <w:rFonts w:eastAsia="Calibri"/>
        </w:rPr>
        <w:t>“Language Access Fact Sheet</w:t>
      </w:r>
      <w:r>
        <w:rPr>
          <w:rFonts w:eastAsia="Calibri"/>
        </w:rPr>
        <w:t>.</w:t>
      </w:r>
      <w:r w:rsidRPr="00C30769">
        <w:rPr>
          <w:rFonts w:eastAsia="Calibri"/>
        </w:rPr>
        <w:t xml:space="preserve">” </w:t>
      </w:r>
      <w:r>
        <w:t>Washington, DC: OHR.</w:t>
      </w:r>
    </w:p>
    <w:p w:rsidR="00D15681" w:rsidRPr="00842702" w:rsidRDefault="00D15681" w:rsidP="00D15681">
      <w:pPr>
        <w:pStyle w:val="Reference"/>
        <w:rPr>
          <w:rFonts w:eastAsia="Calibri"/>
        </w:rPr>
      </w:pPr>
      <w:r>
        <w:t xml:space="preserve">———. 2007b. </w:t>
      </w:r>
      <w:r w:rsidRPr="0077099F">
        <w:rPr>
          <w:rFonts w:eastAsia="Calibri"/>
        </w:rPr>
        <w:t>“The Implementation of the D.C. Language Access Act of 2004: A Compliance Review (Fiscal Years 2005-2007)</w:t>
      </w:r>
      <w:r>
        <w:rPr>
          <w:rFonts w:eastAsia="Calibri"/>
        </w:rPr>
        <w:t>.</w:t>
      </w:r>
      <w:r w:rsidRPr="0077099F">
        <w:rPr>
          <w:rFonts w:eastAsia="Calibri"/>
        </w:rPr>
        <w:t xml:space="preserve">” </w:t>
      </w:r>
      <w:r>
        <w:rPr>
          <w:rFonts w:eastAsia="Calibri"/>
        </w:rPr>
        <w:t xml:space="preserve">Washington, DC: </w:t>
      </w:r>
      <w:r w:rsidRPr="0077099F">
        <w:t>OHR.</w:t>
      </w:r>
      <w:r w:rsidRPr="0077099F">
        <w:rPr>
          <w:rFonts w:eastAsia="Calibri"/>
        </w:rPr>
        <w:t xml:space="preserve"> </w:t>
      </w:r>
    </w:p>
    <w:p w:rsidR="00D15681" w:rsidRPr="00842702" w:rsidRDefault="00D15681" w:rsidP="00D15681">
      <w:pPr>
        <w:pStyle w:val="Reference"/>
      </w:pPr>
      <w:r>
        <w:t xml:space="preserve">———. 2008. </w:t>
      </w:r>
      <w:r w:rsidRPr="00842702">
        <w:t>“</w:t>
      </w:r>
      <w:r w:rsidRPr="0077099F">
        <w:rPr>
          <w:rFonts w:eastAsia="Calibri"/>
        </w:rPr>
        <w:t xml:space="preserve">Implementation of the D.C. Language Access Act of 2004: </w:t>
      </w:r>
      <w:r w:rsidRPr="0077099F">
        <w:t>A Compliance Review for Fiscal Year 2008, Executive Summary</w:t>
      </w:r>
      <w:r>
        <w:t>.</w:t>
      </w:r>
      <w:r w:rsidRPr="0077099F">
        <w:t xml:space="preserve">” </w:t>
      </w:r>
      <w:r>
        <w:t>Washington, DC: OHR.</w:t>
      </w:r>
    </w:p>
    <w:p w:rsidR="00BC4EC1" w:rsidRDefault="00BC4EC1" w:rsidP="00BC4EC1">
      <w:pPr>
        <w:pStyle w:val="Reference"/>
      </w:pPr>
      <w:r>
        <w:t xml:space="preserve">———. 2009. </w:t>
      </w:r>
      <w:r w:rsidRPr="00C30769">
        <w:t>“Language Access in the District: An Annual Compliance Review and 5-Year Checkpoint</w:t>
      </w:r>
      <w:r>
        <w:t>.</w:t>
      </w:r>
      <w:r w:rsidRPr="00C30769">
        <w:t>”</w:t>
      </w:r>
      <w:r>
        <w:t xml:space="preserve"> Washington, DC: OHR.</w:t>
      </w:r>
    </w:p>
    <w:p w:rsidR="00BC4EC1" w:rsidRDefault="00BC4EC1" w:rsidP="00BC4EC1">
      <w:pPr>
        <w:pStyle w:val="Reference"/>
      </w:pPr>
      <w:r>
        <w:t xml:space="preserve">———. 2011. </w:t>
      </w:r>
      <w:r w:rsidRPr="00C30769">
        <w:t>“Language Access in the District: 2010 Annual Compliance Review</w:t>
      </w:r>
      <w:r>
        <w:t>.</w:t>
      </w:r>
      <w:r w:rsidRPr="00C30769">
        <w:t xml:space="preserve">” </w:t>
      </w:r>
      <w:r>
        <w:t>Washington, DC: OHR.</w:t>
      </w:r>
    </w:p>
    <w:p w:rsidR="000C65D0" w:rsidRPr="00842702" w:rsidRDefault="000C65D0" w:rsidP="000C65D0">
      <w:pPr>
        <w:pStyle w:val="Reference"/>
      </w:pPr>
      <w:r>
        <w:t xml:space="preserve">———. 2012. </w:t>
      </w:r>
      <w:r w:rsidRPr="0077099F">
        <w:t>“Language Access in the District: 2011 Annual Compliance Review</w:t>
      </w:r>
      <w:r>
        <w:t>.</w:t>
      </w:r>
      <w:r w:rsidRPr="0077099F">
        <w:t xml:space="preserve">” </w:t>
      </w:r>
      <w:r>
        <w:t>Washington, DC: OHR.</w:t>
      </w:r>
    </w:p>
    <w:p w:rsidR="00BC4EC1" w:rsidRDefault="00BC4EC1" w:rsidP="00BC4EC1">
      <w:pPr>
        <w:pStyle w:val="Reference"/>
      </w:pPr>
      <w:r>
        <w:t xml:space="preserve">———. 2013. </w:t>
      </w:r>
      <w:r w:rsidRPr="00C30769">
        <w:t>“Language Access in the District: 2012 Annual Compliance Review</w:t>
      </w:r>
      <w:r>
        <w:t>.</w:t>
      </w:r>
      <w:r w:rsidRPr="00C30769">
        <w:t xml:space="preserve">” </w:t>
      </w:r>
      <w:r>
        <w:t xml:space="preserve">Washington, DC: OHR. </w:t>
      </w:r>
    </w:p>
    <w:p w:rsidR="00BC4EC1" w:rsidRDefault="00BC4EC1" w:rsidP="00BC4EC1">
      <w:pPr>
        <w:pStyle w:val="Reference"/>
      </w:pPr>
      <w:r>
        <w:t xml:space="preserve">———. 2014. “Language Access in the District: 2013 Annual Compliance Review.” Washington, DC: OHR. </w:t>
      </w:r>
    </w:p>
    <w:p w:rsidR="00BC4EC1" w:rsidRPr="00AB3898" w:rsidRDefault="00BC4EC1" w:rsidP="00BC4EC1">
      <w:pPr>
        <w:pStyle w:val="Reference"/>
      </w:pPr>
      <w:r w:rsidRPr="00AB3898">
        <w:t xml:space="preserve">Griffin, Deborah, and Joan Broadwater. 2005. “American Community Survey </w:t>
      </w:r>
      <w:proofErr w:type="spellStart"/>
      <w:r w:rsidRPr="00AB3898">
        <w:t>Noninterview</w:t>
      </w:r>
      <w:proofErr w:type="spellEnd"/>
      <w:r w:rsidRPr="00AB3898">
        <w:t xml:space="preserve"> Rates due to Language Barriers.” Suitland, MD: US Census Bureau. </w:t>
      </w:r>
      <w:hyperlink r:id="rId32" w:history="1">
        <w:r w:rsidRPr="00A05270">
          <w:rPr>
            <w:rStyle w:val="Hyperlink"/>
          </w:rPr>
          <w:t>https://www.census.gov/cac/race_ethnic_advisory_committees/docs/2005_April_acs-noninterview-rates.pdf</w:t>
        </w:r>
      </w:hyperlink>
      <w:r w:rsidRPr="00AB3898">
        <w:t>.</w:t>
      </w:r>
    </w:p>
    <w:p w:rsidR="00BC4EC1" w:rsidRPr="00AB3898" w:rsidRDefault="00BC4EC1" w:rsidP="00BC4EC1">
      <w:pPr>
        <w:pStyle w:val="Reference"/>
      </w:pPr>
      <w:proofErr w:type="spellStart"/>
      <w:r>
        <w:t>Hoefer</w:t>
      </w:r>
      <w:proofErr w:type="spellEnd"/>
      <w:r>
        <w:t>, Michael</w:t>
      </w:r>
      <w:r w:rsidRPr="00C30769">
        <w:t xml:space="preserve">, Nancy </w:t>
      </w:r>
      <w:proofErr w:type="spellStart"/>
      <w:r w:rsidRPr="00C30769">
        <w:t>R</w:t>
      </w:r>
      <w:r>
        <w:t>ytins</w:t>
      </w:r>
      <w:proofErr w:type="spellEnd"/>
      <w:r w:rsidRPr="00C30769">
        <w:t xml:space="preserve">, </w:t>
      </w:r>
      <w:r>
        <w:t>and</w:t>
      </w:r>
      <w:r w:rsidRPr="00C30769">
        <w:t xml:space="preserve"> </w:t>
      </w:r>
      <w:r>
        <w:t xml:space="preserve">Bryan C. </w:t>
      </w:r>
      <w:r w:rsidRPr="00C30769">
        <w:t xml:space="preserve">Baker. 2011. “Estimates of the Unauthorized </w:t>
      </w:r>
      <w:r w:rsidRPr="00AB3898">
        <w:t xml:space="preserve">Immigrant Population Residing in the United States: January 2010.” Washington, DC: US Department of Homeland Security Office of Immigration Statistics. </w:t>
      </w:r>
      <w:hyperlink r:id="rId33" w:history="1">
        <w:r w:rsidRPr="00A05270">
          <w:rPr>
            <w:rStyle w:val="Hyperlink"/>
          </w:rPr>
          <w:t>http://www.dhs.gov/xlibrary/assets/statistics/publications/ois_ill_pe_2010.pdf</w:t>
        </w:r>
      </w:hyperlink>
      <w:r w:rsidRPr="00AB3898">
        <w:t>.</w:t>
      </w:r>
    </w:p>
    <w:p w:rsidR="00BC4EC1" w:rsidRPr="00111D41" w:rsidRDefault="00BC4EC1" w:rsidP="00BC4EC1">
      <w:pPr>
        <w:pStyle w:val="Reference"/>
      </w:pPr>
      <w:proofErr w:type="spellStart"/>
      <w:r w:rsidRPr="00111D41">
        <w:t>Kallick</w:t>
      </w:r>
      <w:proofErr w:type="spellEnd"/>
      <w:r w:rsidRPr="00111D41">
        <w:t xml:space="preserve">, David D., James Parrott, and Frank Mauro. 2012. Immigrant Small Business Owners. New York: Fiscal Policy Institute. </w:t>
      </w:r>
      <w:hyperlink r:id="rId34" w:history="1">
        <w:r w:rsidRPr="00111D41">
          <w:t>http://www.fiscalpolicy.org/immigrant-small-business-owners-FPI-20120614.pdf</w:t>
        </w:r>
      </w:hyperlink>
      <w:r>
        <w:t>.</w:t>
      </w:r>
      <w:r w:rsidRPr="00111D41">
        <w:t xml:space="preserve"> </w:t>
      </w:r>
    </w:p>
    <w:p w:rsidR="00BC4EC1" w:rsidRPr="00DA12FA" w:rsidRDefault="00BC4EC1" w:rsidP="00BC4EC1">
      <w:pPr>
        <w:pStyle w:val="Reference"/>
        <w:rPr>
          <w:rStyle w:val="Hyperlink"/>
        </w:rPr>
      </w:pPr>
      <w:proofErr w:type="spellStart"/>
      <w:r w:rsidRPr="00DA12FA">
        <w:t>Laglagaron</w:t>
      </w:r>
      <w:proofErr w:type="spellEnd"/>
      <w:r w:rsidRPr="00DA12FA">
        <w:t xml:space="preserve">, </w:t>
      </w:r>
      <w:proofErr w:type="spellStart"/>
      <w:r w:rsidRPr="00DA12FA">
        <w:t>L</w:t>
      </w:r>
      <w:r>
        <w:t>aureen</w:t>
      </w:r>
      <w:proofErr w:type="spellEnd"/>
      <w:r>
        <w:t xml:space="preserve">, and Jessica </w:t>
      </w:r>
      <w:proofErr w:type="spellStart"/>
      <w:r>
        <w:t>Sperling</w:t>
      </w:r>
      <w:proofErr w:type="spellEnd"/>
      <w:r w:rsidRPr="00DA12FA">
        <w:t xml:space="preserve">. 2009.“Is This Working? Assessment and Evaluation Methods Used to Build and Assess Language Access Services in Social Service Agencies.” </w:t>
      </w:r>
      <w:r>
        <w:t xml:space="preserve">Washington, DC: </w:t>
      </w:r>
      <w:r w:rsidRPr="00DA12FA">
        <w:t>Migration Policy</w:t>
      </w:r>
      <w:r w:rsidR="00D15681">
        <w:t xml:space="preserve"> </w:t>
      </w:r>
      <w:r w:rsidRPr="00DA12FA">
        <w:t>Institute</w:t>
      </w:r>
      <w:r>
        <w:t>.</w:t>
      </w:r>
      <w:r w:rsidRPr="00DA12FA">
        <w:t xml:space="preserve"> </w:t>
      </w:r>
      <w:hyperlink r:id="rId35" w:history="1">
        <w:r w:rsidRPr="00DA12FA">
          <w:t>http://www.migrationpolicy.org/research/working-assessment-and-evaluation-methods-used-build-and-access-language-services-social</w:t>
        </w:r>
      </w:hyperlink>
      <w:r>
        <w:t>.</w:t>
      </w:r>
    </w:p>
    <w:p w:rsidR="00BC4EC1" w:rsidRPr="00C30769" w:rsidRDefault="00BC4EC1" w:rsidP="00BC4EC1">
      <w:pPr>
        <w:pStyle w:val="Reference"/>
      </w:pPr>
      <w:r>
        <w:t>Lee, S.</w:t>
      </w:r>
      <w:r w:rsidRPr="00C30769">
        <w:t xml:space="preserve">M. </w:t>
      </w:r>
      <w:r>
        <w:t>2011.</w:t>
      </w:r>
      <w:r w:rsidRPr="00C30769">
        <w:t>“Language Access Services: Summaries, Findings, Comparisons, and Recommendations</w:t>
      </w:r>
      <w:r>
        <w:t>.</w:t>
      </w:r>
      <w:r w:rsidRPr="00C30769">
        <w:t xml:space="preserve">” </w:t>
      </w:r>
      <w:r>
        <w:t xml:space="preserve">Washington, </w:t>
      </w:r>
      <w:r w:rsidRPr="00C30769">
        <w:t>DC</w:t>
      </w:r>
      <w:r>
        <w:t>:</w:t>
      </w:r>
      <w:r w:rsidRPr="00C30769">
        <w:t xml:space="preserve"> Mayor’s Office on Asian and Pacific Islander A</w:t>
      </w:r>
      <w:r>
        <w:t>ffairs.</w:t>
      </w:r>
    </w:p>
    <w:p w:rsidR="00BC4EC1" w:rsidRDefault="00BC4EC1" w:rsidP="00BC4EC1">
      <w:pPr>
        <w:pStyle w:val="Reference"/>
        <w:rPr>
          <w:rFonts w:eastAsia="Times New Roman"/>
        </w:rPr>
      </w:pPr>
      <w:r w:rsidRPr="00C30769">
        <w:rPr>
          <w:rFonts w:eastAsia="Times New Roman"/>
        </w:rPr>
        <w:t>Minnesota Population Center. 2011. National Historical Geographic Information System: Version 2.0. Minneapolis: University of Minnesota.</w:t>
      </w:r>
    </w:p>
    <w:p w:rsidR="000C65D0" w:rsidRPr="00842702" w:rsidRDefault="000C65D0" w:rsidP="000C65D0">
      <w:pPr>
        <w:pStyle w:val="Reference"/>
        <w:rPr>
          <w:color w:val="000000"/>
        </w:rPr>
      </w:pPr>
      <w:r w:rsidRPr="0077099F">
        <w:rPr>
          <w:rFonts w:eastAsia="Calibri"/>
        </w:rPr>
        <w:t>Montgomery County</w:t>
      </w:r>
      <w:r>
        <w:rPr>
          <w:rFonts w:eastAsia="Calibri"/>
        </w:rPr>
        <w:t xml:space="preserve">. </w:t>
      </w:r>
      <w:proofErr w:type="spellStart"/>
      <w:r>
        <w:rPr>
          <w:rFonts w:eastAsia="Calibri"/>
        </w:rPr>
        <w:t>n.d.</w:t>
      </w:r>
      <w:proofErr w:type="spellEnd"/>
      <w:r>
        <w:rPr>
          <w:rFonts w:eastAsia="Calibri"/>
        </w:rPr>
        <w:t xml:space="preserve"> </w:t>
      </w:r>
      <w:r w:rsidRPr="0077099F">
        <w:rPr>
          <w:rFonts w:eastAsia="Calibri"/>
        </w:rPr>
        <w:t>LEP Resources</w:t>
      </w:r>
      <w:r>
        <w:rPr>
          <w:rFonts w:eastAsia="Calibri"/>
        </w:rPr>
        <w:t>.</w:t>
      </w:r>
      <w:r w:rsidRPr="0077099F">
        <w:rPr>
          <w:rFonts w:eastAsia="Calibri"/>
        </w:rPr>
        <w:t xml:space="preserve"> </w:t>
      </w:r>
      <w:r>
        <w:rPr>
          <w:rFonts w:eastAsia="Calibri"/>
        </w:rPr>
        <w:t>R</w:t>
      </w:r>
      <w:r w:rsidRPr="0077099F">
        <w:rPr>
          <w:rFonts w:eastAsia="Calibri"/>
        </w:rPr>
        <w:t xml:space="preserve">etrieved from </w:t>
      </w:r>
      <w:hyperlink r:id="rId36" w:history="1">
        <w:r w:rsidRPr="0077099F">
          <w:rPr>
            <w:rStyle w:val="Hyperlink"/>
            <w:szCs w:val="22"/>
          </w:rPr>
          <w:t>http://www.montgomerycountymd.gov/lep/documents.html</w:t>
        </w:r>
      </w:hyperlink>
      <w:r>
        <w:rPr>
          <w:rStyle w:val="Hyperlink"/>
          <w:szCs w:val="22"/>
        </w:rPr>
        <w:t>.</w:t>
      </w:r>
    </w:p>
    <w:p w:rsidR="00BC4EC1" w:rsidRDefault="00BC4EC1" w:rsidP="00BC4EC1">
      <w:pPr>
        <w:pStyle w:val="Reference"/>
        <w:rPr>
          <w:rStyle w:val="Hyperlink"/>
        </w:rPr>
      </w:pPr>
      <w:r w:rsidRPr="00C30769">
        <w:t xml:space="preserve">New York City </w:t>
      </w:r>
      <w:r>
        <w:t>Mayor’s</w:t>
      </w:r>
      <w:r w:rsidRPr="00C30769">
        <w:t xml:space="preserve"> Offi</w:t>
      </w:r>
      <w:r>
        <w:t xml:space="preserve">ce of Immigrant Affairs (MOIA). 2013. </w:t>
      </w:r>
      <w:r w:rsidRPr="00A05270">
        <w:rPr>
          <w:i/>
        </w:rPr>
        <w:t>A Blueprint for Immigrant Integration: Language Access</w:t>
      </w:r>
      <w:r>
        <w:t>.</w:t>
      </w:r>
      <w:r w:rsidRPr="00C30769">
        <w:t xml:space="preserve"> </w:t>
      </w:r>
      <w:r>
        <w:t>New York: MOIA.</w:t>
      </w:r>
      <w:r w:rsidRPr="00C30769" w:rsidDel="00CE09ED">
        <w:t xml:space="preserve"> </w:t>
      </w:r>
      <w:hyperlink r:id="rId37" w:history="1">
        <w:r w:rsidRPr="00CE09ED">
          <w:t>http://www.nyc.gov/html/imm/downloads/pdf/Blueprints/BII-Language-Access.pdf</w:t>
        </w:r>
      </w:hyperlink>
      <w:r>
        <w:t>.</w:t>
      </w:r>
    </w:p>
    <w:p w:rsidR="00BC4EC1" w:rsidRDefault="00BC4EC1" w:rsidP="00BC4EC1">
      <w:pPr>
        <w:pStyle w:val="Reference"/>
      </w:pPr>
      <w:r w:rsidRPr="00C30769">
        <w:t xml:space="preserve">Pan, </w:t>
      </w:r>
      <w:proofErr w:type="spellStart"/>
      <w:r w:rsidRPr="00C30769">
        <w:t>Y</w:t>
      </w:r>
      <w:r>
        <w:t>uling</w:t>
      </w:r>
      <w:proofErr w:type="spellEnd"/>
      <w:r>
        <w:t xml:space="preserve">, and Stephen </w:t>
      </w:r>
      <w:proofErr w:type="spellStart"/>
      <w:r w:rsidRPr="00C30769">
        <w:t>Lubkemann</w:t>
      </w:r>
      <w:proofErr w:type="spellEnd"/>
      <w:r>
        <w:t>.</w:t>
      </w:r>
      <w:r w:rsidRPr="00C30769">
        <w:t xml:space="preserve"> 2012. “Observing Census Enumeration of Non-English Speaking Households in the 2010 Census: Evaluation Report.” Suitland, MD: US Census Bureau. </w:t>
      </w:r>
      <w:hyperlink r:id="rId38" w:history="1">
        <w:r w:rsidRPr="000C65D0">
          <w:rPr>
            <w:rStyle w:val="Hyperlink"/>
          </w:rPr>
          <w:t>https://www.census.gov/2010census/pdf/2010_Census_Enumeration_Non-English_Speaking_Households.pdf</w:t>
        </w:r>
      </w:hyperlink>
      <w:r w:rsidRPr="000C65D0">
        <w:t>.</w:t>
      </w:r>
    </w:p>
    <w:p w:rsidR="00BC4EC1" w:rsidRDefault="00BC4EC1" w:rsidP="00BC4EC1">
      <w:pPr>
        <w:pStyle w:val="Reference"/>
      </w:pPr>
      <w:r>
        <w:rPr>
          <w:lang w:val="es-GT"/>
        </w:rPr>
        <w:t xml:space="preserve">Passel, Jeffrey </w:t>
      </w:r>
      <w:r w:rsidRPr="00C30769">
        <w:rPr>
          <w:lang w:val="es-GT"/>
        </w:rPr>
        <w:t xml:space="preserve">S., </w:t>
      </w:r>
      <w:r>
        <w:rPr>
          <w:lang w:val="es-GT"/>
        </w:rPr>
        <w:t xml:space="preserve">D’Vera </w:t>
      </w:r>
      <w:r w:rsidRPr="00C30769">
        <w:rPr>
          <w:lang w:val="es-GT"/>
        </w:rPr>
        <w:t>Cohn</w:t>
      </w:r>
      <w:r>
        <w:rPr>
          <w:lang w:val="es-GT"/>
        </w:rPr>
        <w:t xml:space="preserve">, </w:t>
      </w:r>
      <w:r w:rsidRPr="00C30769">
        <w:rPr>
          <w:lang w:val="es-GT"/>
        </w:rPr>
        <w:t xml:space="preserve">and </w:t>
      </w:r>
      <w:r>
        <w:rPr>
          <w:lang w:val="es-GT"/>
        </w:rPr>
        <w:t xml:space="preserve">Ana </w:t>
      </w:r>
      <w:r w:rsidRPr="00C30769">
        <w:rPr>
          <w:lang w:val="es-GT"/>
        </w:rPr>
        <w:t xml:space="preserve">Gonzalez-Barrera. </w:t>
      </w:r>
      <w:r w:rsidRPr="00C30769">
        <w:t>2013. “Population Decline of Unauthorized Immigrants Stalls, May Have Reversed.” Washington, DC: Pew Research Center.</w:t>
      </w:r>
      <w:r>
        <w:t xml:space="preserve"> </w:t>
      </w:r>
      <w:r w:rsidRPr="00C30769">
        <w:t>http://www.pewhispanic.org/files/2013/09/Unauthorized-Sept-2013-FINAL.pdf.</w:t>
      </w:r>
    </w:p>
    <w:p w:rsidR="00BC4EC1" w:rsidRDefault="00BC4EC1" w:rsidP="00BC4EC1">
      <w:pPr>
        <w:pStyle w:val="Reference"/>
        <w:rPr>
          <w:rFonts w:eastAsia="Times New Roman"/>
        </w:rPr>
      </w:pPr>
      <w:proofErr w:type="spellStart"/>
      <w:r w:rsidRPr="00C30769">
        <w:rPr>
          <w:rFonts w:eastAsia="Times New Roman"/>
        </w:rPr>
        <w:t>Ruggles</w:t>
      </w:r>
      <w:proofErr w:type="spellEnd"/>
      <w:r w:rsidRPr="00C30769">
        <w:rPr>
          <w:rFonts w:eastAsia="Times New Roman"/>
        </w:rPr>
        <w:t>, S</w:t>
      </w:r>
      <w:r>
        <w:rPr>
          <w:rFonts w:eastAsia="Times New Roman"/>
        </w:rPr>
        <w:t xml:space="preserve">., J. T. </w:t>
      </w:r>
      <w:r w:rsidRPr="00C30769">
        <w:rPr>
          <w:rFonts w:eastAsia="Times New Roman"/>
        </w:rPr>
        <w:t>Alexander</w:t>
      </w:r>
      <w:r>
        <w:rPr>
          <w:rFonts w:eastAsia="Times New Roman"/>
        </w:rPr>
        <w:t xml:space="preserve">, K. </w:t>
      </w:r>
      <w:proofErr w:type="spellStart"/>
      <w:r w:rsidRPr="00C30769">
        <w:rPr>
          <w:rFonts w:eastAsia="Times New Roman"/>
        </w:rPr>
        <w:t>Genadek</w:t>
      </w:r>
      <w:proofErr w:type="spellEnd"/>
      <w:r>
        <w:rPr>
          <w:rFonts w:eastAsia="Times New Roman"/>
        </w:rPr>
        <w:t xml:space="preserve">, R. </w:t>
      </w:r>
      <w:proofErr w:type="spellStart"/>
      <w:r w:rsidRPr="00C30769">
        <w:rPr>
          <w:rFonts w:eastAsia="Times New Roman"/>
        </w:rPr>
        <w:t>Goeken</w:t>
      </w:r>
      <w:proofErr w:type="spellEnd"/>
      <w:r>
        <w:rPr>
          <w:rFonts w:eastAsia="Times New Roman"/>
        </w:rPr>
        <w:t xml:space="preserve"> R.</w:t>
      </w:r>
      <w:r w:rsidRPr="00C30769">
        <w:rPr>
          <w:rFonts w:eastAsia="Times New Roman"/>
        </w:rPr>
        <w:t xml:space="preserve">, </w:t>
      </w:r>
      <w:r>
        <w:rPr>
          <w:rFonts w:eastAsia="Times New Roman"/>
        </w:rPr>
        <w:t xml:space="preserve">M. B. </w:t>
      </w:r>
      <w:r w:rsidRPr="00C30769">
        <w:rPr>
          <w:rFonts w:eastAsia="Times New Roman"/>
        </w:rPr>
        <w:t>Schroeder</w:t>
      </w:r>
      <w:r>
        <w:rPr>
          <w:rFonts w:eastAsia="Times New Roman"/>
        </w:rPr>
        <w:t>, and</w:t>
      </w:r>
      <w:r w:rsidRPr="00C30769">
        <w:rPr>
          <w:rFonts w:eastAsia="Times New Roman"/>
        </w:rPr>
        <w:t xml:space="preserve"> </w:t>
      </w:r>
      <w:r>
        <w:rPr>
          <w:rFonts w:eastAsia="Times New Roman"/>
        </w:rPr>
        <w:t xml:space="preserve">M. </w:t>
      </w:r>
      <w:proofErr w:type="spellStart"/>
      <w:r w:rsidRPr="00C30769">
        <w:rPr>
          <w:rFonts w:eastAsia="Times New Roman"/>
        </w:rPr>
        <w:t>Sobek</w:t>
      </w:r>
      <w:proofErr w:type="spellEnd"/>
      <w:r w:rsidRPr="00C30769">
        <w:rPr>
          <w:rFonts w:eastAsia="Times New Roman"/>
        </w:rPr>
        <w:t xml:space="preserve">. 2010. </w:t>
      </w:r>
      <w:r w:rsidRPr="00C30769">
        <w:rPr>
          <w:rFonts w:eastAsia="Times New Roman"/>
          <w:i/>
          <w:iCs/>
        </w:rPr>
        <w:t>Integrated Public Use Microdata Series: Version 5.0</w:t>
      </w:r>
      <w:r w:rsidRPr="00C30769">
        <w:rPr>
          <w:rFonts w:eastAsia="Times New Roman"/>
        </w:rPr>
        <w:t xml:space="preserve"> [</w:t>
      </w:r>
      <w:r>
        <w:rPr>
          <w:rFonts w:eastAsia="Times New Roman"/>
        </w:rPr>
        <w:t>m</w:t>
      </w:r>
      <w:r w:rsidRPr="00C30769">
        <w:rPr>
          <w:rFonts w:eastAsia="Times New Roman"/>
        </w:rPr>
        <w:t>achine-readable database]. Minneapolis: University of Minnesota.</w:t>
      </w:r>
    </w:p>
    <w:p w:rsidR="00BC4EC1" w:rsidRPr="000C65D0" w:rsidRDefault="00BC4EC1" w:rsidP="00BC4EC1">
      <w:pPr>
        <w:pStyle w:val="Reference"/>
        <w:rPr>
          <w:rFonts w:eastAsia="Times New Roman"/>
        </w:rPr>
      </w:pPr>
      <w:r w:rsidRPr="00C30769">
        <w:rPr>
          <w:rFonts w:eastAsia="Times New Roman"/>
        </w:rPr>
        <w:t>Siegel, P</w:t>
      </w:r>
      <w:r>
        <w:rPr>
          <w:rFonts w:eastAsia="Times New Roman"/>
        </w:rPr>
        <w:t>aul,</w:t>
      </w:r>
      <w:r w:rsidRPr="00C30769">
        <w:rPr>
          <w:rFonts w:eastAsia="Times New Roman"/>
        </w:rPr>
        <w:t xml:space="preserve"> </w:t>
      </w:r>
      <w:r>
        <w:rPr>
          <w:rFonts w:eastAsia="Times New Roman"/>
        </w:rPr>
        <w:t xml:space="preserve">Elizabeth </w:t>
      </w:r>
      <w:r w:rsidRPr="00C30769">
        <w:rPr>
          <w:rFonts w:eastAsia="Times New Roman"/>
        </w:rPr>
        <w:t xml:space="preserve">Martin, </w:t>
      </w:r>
      <w:r>
        <w:rPr>
          <w:rFonts w:eastAsia="Times New Roman"/>
        </w:rPr>
        <w:t>Rosalind and</w:t>
      </w:r>
      <w:r w:rsidRPr="00C30769">
        <w:rPr>
          <w:rFonts w:eastAsia="Times New Roman"/>
        </w:rPr>
        <w:t xml:space="preserve"> Bruno</w:t>
      </w:r>
      <w:r>
        <w:rPr>
          <w:rFonts w:eastAsia="Times New Roman"/>
        </w:rPr>
        <w:t>.</w:t>
      </w:r>
      <w:r w:rsidRPr="00C30769">
        <w:rPr>
          <w:rFonts w:eastAsia="Times New Roman"/>
        </w:rPr>
        <w:t xml:space="preserve"> 2001. </w:t>
      </w:r>
      <w:r>
        <w:rPr>
          <w:rFonts w:eastAsia="Times New Roman"/>
        </w:rPr>
        <w:t>“</w:t>
      </w:r>
      <w:r w:rsidRPr="00C30769">
        <w:rPr>
          <w:rFonts w:eastAsia="Times New Roman"/>
        </w:rPr>
        <w:t>Language Use and Linguistic Isolation: Historical Data and Methodological Issues.</w:t>
      </w:r>
      <w:r>
        <w:rPr>
          <w:rFonts w:eastAsia="Times New Roman"/>
        </w:rPr>
        <w:t>”</w:t>
      </w:r>
      <w:r w:rsidRPr="00C30769">
        <w:rPr>
          <w:rFonts w:eastAsia="Times New Roman"/>
        </w:rPr>
        <w:t xml:space="preserve"> Suitland, MD: US Census Bureau. </w:t>
      </w:r>
      <w:hyperlink r:id="rId39" w:history="1">
        <w:r w:rsidRPr="000C65D0">
          <w:rPr>
            <w:rStyle w:val="Hyperlink"/>
            <w:rFonts w:eastAsia="Times New Roman"/>
            <w:szCs w:val="22"/>
          </w:rPr>
          <w:t>http://www.census.gov/hhes/socdemo/language/data/census/li-final.pdf</w:t>
        </w:r>
      </w:hyperlink>
      <w:r w:rsidRPr="000C65D0">
        <w:rPr>
          <w:rStyle w:val="Hyperlink"/>
          <w:rFonts w:eastAsia="Times New Roman"/>
          <w:szCs w:val="22"/>
        </w:rPr>
        <w:t>.</w:t>
      </w:r>
    </w:p>
    <w:p w:rsidR="00BC4EC1" w:rsidRDefault="00BC4EC1" w:rsidP="00BC4EC1">
      <w:pPr>
        <w:pStyle w:val="Reference"/>
      </w:pPr>
      <w:r>
        <w:t>Singer, Audrey. 2012</w:t>
      </w:r>
      <w:r w:rsidRPr="00C30769">
        <w:t>. “Metropolitan Washington: A New Immigrant Gateway</w:t>
      </w:r>
      <w:r>
        <w:t>.</w:t>
      </w:r>
      <w:r w:rsidRPr="00C30769">
        <w:t xml:space="preserve">” </w:t>
      </w:r>
      <w:r>
        <w:t xml:space="preserve">In </w:t>
      </w:r>
      <w:r>
        <w:rPr>
          <w:i/>
        </w:rPr>
        <w:t xml:space="preserve">Hispanic Migration and Urban Development: Studies from Washington, DC, </w:t>
      </w:r>
      <w:r>
        <w:t xml:space="preserve">edited by Enrique S. </w:t>
      </w:r>
      <w:proofErr w:type="spellStart"/>
      <w:r>
        <w:t>Pumar</w:t>
      </w:r>
      <w:proofErr w:type="spellEnd"/>
      <w:r>
        <w:t>. Bingley, UK: Emerald Publishing .</w:t>
      </w:r>
      <w:r w:rsidRPr="00C30769">
        <w:t xml:space="preserve"> </w:t>
      </w:r>
      <w:r>
        <w:t xml:space="preserve">Retrieved </w:t>
      </w:r>
      <w:r w:rsidRPr="00FB0C49">
        <w:t xml:space="preserve">from </w:t>
      </w:r>
      <w:hyperlink r:id="rId40" w:history="1">
        <w:r w:rsidRPr="00A05270">
          <w:t>http://www.brookings.edu/research/articles/2013/04/washington-dc-immigration-singer</w:t>
        </w:r>
      </w:hyperlink>
      <w:r w:rsidRPr="00A05270">
        <w:t>.</w:t>
      </w:r>
    </w:p>
    <w:p w:rsidR="00BC4EC1" w:rsidRDefault="00BC4EC1" w:rsidP="00BC4EC1">
      <w:pPr>
        <w:pStyle w:val="Reference"/>
      </w:pPr>
      <w:r w:rsidRPr="00C30769">
        <w:t xml:space="preserve">Singer, </w:t>
      </w:r>
      <w:r w:rsidRPr="00C62725">
        <w:t>Audrey,</w:t>
      </w:r>
      <w:r>
        <w:t xml:space="preserve"> </w:t>
      </w:r>
      <w:r w:rsidRPr="00C30769">
        <w:t xml:space="preserve">and </w:t>
      </w:r>
      <w:r>
        <w:t xml:space="preserve">Jill H. </w:t>
      </w:r>
      <w:r w:rsidRPr="00C30769">
        <w:t>Wilson</w:t>
      </w:r>
      <w:r>
        <w:t>.</w:t>
      </w:r>
      <w:r w:rsidRPr="00C30769">
        <w:t xml:space="preserve"> </w:t>
      </w:r>
      <w:r>
        <w:t xml:space="preserve">2004. </w:t>
      </w:r>
      <w:r w:rsidRPr="00C30769">
        <w:t>“Polyglot Washington: Language Needs and Abilities in the Nation’s Capital</w:t>
      </w:r>
      <w:r>
        <w:t>.</w:t>
      </w:r>
      <w:r w:rsidRPr="00C30769">
        <w:t xml:space="preserve">” </w:t>
      </w:r>
      <w:r>
        <w:t xml:space="preserve">Washington, DC: </w:t>
      </w:r>
      <w:r w:rsidRPr="00C30769">
        <w:t>The Brookings Institution</w:t>
      </w:r>
      <w:r>
        <w:t>.</w:t>
      </w:r>
      <w:r w:rsidRPr="00C30769">
        <w:t xml:space="preserve"> </w:t>
      </w:r>
    </w:p>
    <w:p w:rsidR="006D58CF" w:rsidRPr="00FB0C49" w:rsidRDefault="006D58CF" w:rsidP="006D58CF">
      <w:pPr>
        <w:pStyle w:val="Reference"/>
      </w:pPr>
      <w:r>
        <w:t>———.</w:t>
      </w:r>
      <w:r w:rsidRPr="00C30769">
        <w:t xml:space="preserve"> </w:t>
      </w:r>
      <w:r>
        <w:t xml:space="preserve">2006. </w:t>
      </w:r>
      <w:r w:rsidRPr="00C30769">
        <w:t>“</w:t>
      </w:r>
      <w:r>
        <w:t>From ‘There’ to ‘Here’: Refugee Resettlement in Metropolitan America.</w:t>
      </w:r>
      <w:r w:rsidRPr="00C30769">
        <w:t xml:space="preserve">” </w:t>
      </w:r>
      <w:r>
        <w:t xml:space="preserve">Washington, DC: </w:t>
      </w:r>
      <w:r w:rsidRPr="00C30769">
        <w:t>The Brookings Institution</w:t>
      </w:r>
      <w:r>
        <w:t>.</w:t>
      </w:r>
      <w:r w:rsidRPr="00C30769">
        <w:t xml:space="preserve"> </w:t>
      </w:r>
      <w:r w:rsidRPr="001422F7">
        <w:t>http://www.brookings.edu/~/media/research/files/reports/2006/9/demographics%20singer/20060925_singer.pdf</w:t>
      </w:r>
    </w:p>
    <w:p w:rsidR="00BC4EC1" w:rsidRDefault="00BC4EC1" w:rsidP="00BC4EC1">
      <w:pPr>
        <w:pStyle w:val="Reference"/>
        <w:rPr>
          <w:rStyle w:val="Hyperlink"/>
        </w:rPr>
      </w:pPr>
      <w:r w:rsidRPr="00C30769">
        <w:t>US Census Bureau. 2009. “Design and Methodology: American Community Survey.” Suitland, MD: US Census Bureau.</w:t>
      </w:r>
      <w:r>
        <w:t xml:space="preserve"> </w:t>
      </w:r>
      <w:hyperlink r:id="rId41" w:history="1">
        <w:r w:rsidRPr="00C30769">
          <w:rPr>
            <w:rStyle w:val="Hyperlink"/>
          </w:rPr>
          <w:t>https://www.census.gov/acs/www/Downloads/survey_methodology/acs_design_methodology.pdf</w:t>
        </w:r>
      </w:hyperlink>
      <w:r>
        <w:rPr>
          <w:rStyle w:val="Hyperlink"/>
        </w:rPr>
        <w:t>.</w:t>
      </w:r>
    </w:p>
    <w:p w:rsidR="00BC4EC1" w:rsidRPr="00CF067E" w:rsidRDefault="00BC4EC1" w:rsidP="00BC4EC1">
      <w:pPr>
        <w:pStyle w:val="Reference"/>
      </w:pPr>
      <w:r w:rsidRPr="00C30769">
        <w:t>US Depar</w:t>
      </w:r>
      <w:r>
        <w:t xml:space="preserve">tment of Justice (DOJ), </w:t>
      </w:r>
      <w:r w:rsidRPr="00C30769">
        <w:t>Civil Rights Division,</w:t>
      </w:r>
      <w:r>
        <w:t xml:space="preserve"> </w:t>
      </w:r>
      <w:r w:rsidRPr="00C30769">
        <w:t>Federal Coordination and Compliance Section</w:t>
      </w:r>
      <w:r>
        <w:t xml:space="preserve">. 2011. </w:t>
      </w:r>
      <w:r w:rsidRPr="00C30769">
        <w:t>“Common Language Access Questions, Technical Assistance, and Guidance for Federally Conducted and Federally Assisted Programs</w:t>
      </w:r>
      <w:r>
        <w:t>.</w:t>
      </w:r>
      <w:r w:rsidRPr="00C30769">
        <w:t>”</w:t>
      </w:r>
      <w:r>
        <w:t xml:space="preserve"> Washington, DC: </w:t>
      </w:r>
      <w:r w:rsidRPr="00C30769">
        <w:t>US D</w:t>
      </w:r>
      <w:r>
        <w:t xml:space="preserve">OJ. </w:t>
      </w:r>
      <w:hyperlink r:id="rId42" w:history="1">
        <w:r w:rsidRPr="00CF067E">
          <w:t>http://www.lep.gov/resources/081511_Language_Access_CAQ_TA_Guidance.pdf</w:t>
        </w:r>
      </w:hyperlink>
      <w:r>
        <w:t>.</w:t>
      </w:r>
    </w:p>
    <w:p w:rsidR="00BC4EC1" w:rsidRPr="00C30769" w:rsidRDefault="00BC4EC1" w:rsidP="00BC4EC1">
      <w:pPr>
        <w:pStyle w:val="Reference"/>
      </w:pPr>
      <w:r w:rsidRPr="00C30769">
        <w:t>Whitworth, E</w:t>
      </w:r>
      <w:r>
        <w:t>rin</w:t>
      </w:r>
      <w:r w:rsidRPr="00C30769">
        <w:t>. 2001</w:t>
      </w:r>
      <w:r>
        <w:t>.</w:t>
      </w:r>
      <w:r w:rsidRPr="00C30769">
        <w:t xml:space="preserve"> “How Selected Language Groups Coped with Census 2000.” </w:t>
      </w:r>
      <w:r>
        <w:t xml:space="preserve">In </w:t>
      </w:r>
      <w:r w:rsidRPr="00A05270">
        <w:rPr>
          <w:i/>
        </w:rPr>
        <w:t xml:space="preserve">Proceedings of the Annual Meeting of the American Statistical Association, August 5-9, 2001. </w:t>
      </w:r>
      <w:r>
        <w:t xml:space="preserve">Retrieved from </w:t>
      </w:r>
      <w:r w:rsidRPr="00C30769">
        <w:t>http://www.amstat.org/sections/srms/Proceedings/y2001/Proceed/00289.pdf.</w:t>
      </w:r>
    </w:p>
    <w:p w:rsidR="00BC4EC1" w:rsidRDefault="00BC4EC1" w:rsidP="00BC4EC1">
      <w:pPr>
        <w:pStyle w:val="Heading1"/>
        <w:rPr>
          <w:rFonts w:ascii="Calibri" w:eastAsia="Calibri" w:hAnsi="Calibri"/>
          <w:szCs w:val="22"/>
        </w:rPr>
      </w:pPr>
      <w:r w:rsidRPr="008021A1">
        <w:br w:type="page"/>
      </w:r>
    </w:p>
    <w:p w:rsidR="00BC4EC1" w:rsidRDefault="00BC4EC1" w:rsidP="00BC4EC1">
      <w:pPr>
        <w:pStyle w:val="Heading1"/>
      </w:pPr>
      <w:bookmarkStart w:id="39" w:name="_Toc384741737"/>
      <w:r>
        <w:rPr>
          <w:rFonts w:eastAsia="Calibri"/>
        </w:rPr>
        <w:t>Notes</w:t>
      </w:r>
      <w:bookmarkEnd w:id="39"/>
    </w:p>
    <w:sectPr w:rsidR="00BC4EC1" w:rsidSect="00BC4EC1">
      <w:footerReference w:type="even" r:id="rId43"/>
      <w:footerReference w:type="default" r:id="rId44"/>
      <w:endnotePr>
        <w:numFmt w:val="decimal"/>
      </w:endnotePr>
      <w:type w:val="oddPage"/>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54" w:rsidRDefault="001E6C54" w:rsidP="00BC4EC1">
      <w:r>
        <w:separator/>
      </w:r>
    </w:p>
  </w:endnote>
  <w:endnote w:type="continuationSeparator" w:id="0">
    <w:p w:rsidR="001E6C54" w:rsidRDefault="001E6C54" w:rsidP="00BC4EC1">
      <w:r>
        <w:continuationSeparator/>
      </w:r>
    </w:p>
  </w:endnote>
  <w:endnote w:id="1">
    <w:p w:rsidR="006D58CF" w:rsidRPr="009C7207" w:rsidRDefault="006D58CF" w:rsidP="00BC4EC1">
      <w:pPr>
        <w:pStyle w:val="EndnoteText"/>
      </w:pPr>
      <w:r w:rsidRPr="00AE7374">
        <w:rPr>
          <w:rStyle w:val="EndnoteReference"/>
          <w:szCs w:val="18"/>
        </w:rPr>
        <w:endnoteRef/>
      </w:r>
      <w:r w:rsidRPr="009E3FB0">
        <w:rPr>
          <w:sz w:val="22"/>
        </w:rPr>
        <w:t xml:space="preserve"> </w:t>
      </w:r>
      <w:r w:rsidRPr="009C7207">
        <w:t xml:space="preserve">We define the greater DC area as the District plus the </w:t>
      </w:r>
      <w:r>
        <w:t>counties directly surrounding the city</w:t>
      </w:r>
      <w:r w:rsidRPr="009C7207">
        <w:t>: Montgomery and Prince George’s counties in Maryland</w:t>
      </w:r>
      <w:r>
        <w:t>;</w:t>
      </w:r>
      <w:r w:rsidRPr="009C7207">
        <w:t xml:space="preserve"> and Arlington County, Fairfax County (including Fairfax and Falls Church cities), and Alexandria City in Virginia.</w:t>
      </w:r>
    </w:p>
  </w:endnote>
  <w:endnote w:id="2">
    <w:p w:rsidR="006D58CF" w:rsidRPr="008E42DC" w:rsidRDefault="006D58CF">
      <w:pPr>
        <w:pStyle w:val="EndnoteText"/>
        <w:rPr>
          <w:szCs w:val="18"/>
        </w:rPr>
      </w:pPr>
      <w:r w:rsidRPr="00C4732B">
        <w:rPr>
          <w:rStyle w:val="EndnoteReference"/>
          <w:szCs w:val="18"/>
        </w:rPr>
        <w:endnoteRef/>
      </w:r>
      <w:r w:rsidRPr="00C4732B">
        <w:rPr>
          <w:szCs w:val="18"/>
        </w:rPr>
        <w:t xml:space="preserve"> </w:t>
      </w:r>
      <w:r w:rsidRPr="008E42DC">
        <w:rPr>
          <w:szCs w:val="18"/>
        </w:rPr>
        <w:t xml:space="preserve">Other jurisdictions include Oakland and San Francisco, CA; New York, NY; </w:t>
      </w:r>
      <w:r>
        <w:rPr>
          <w:szCs w:val="18"/>
        </w:rPr>
        <w:t xml:space="preserve">and </w:t>
      </w:r>
      <w:r w:rsidRPr="008E42DC">
        <w:rPr>
          <w:szCs w:val="18"/>
        </w:rPr>
        <w:t>some counties</w:t>
      </w:r>
      <w:r>
        <w:rPr>
          <w:szCs w:val="18"/>
        </w:rPr>
        <w:t>, including</w:t>
      </w:r>
      <w:r w:rsidRPr="008E42DC">
        <w:rPr>
          <w:szCs w:val="18"/>
        </w:rPr>
        <w:t xml:space="preserve"> Montgomery County, MD. </w:t>
      </w:r>
    </w:p>
  </w:endnote>
  <w:endnote w:id="3">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Washington </w:t>
      </w:r>
      <w:r>
        <w:rPr>
          <w:szCs w:val="18"/>
        </w:rPr>
        <w:t xml:space="preserve">State passed its language access legislation </w:t>
      </w:r>
      <w:r w:rsidRPr="009C7207">
        <w:rPr>
          <w:szCs w:val="18"/>
        </w:rPr>
        <w:t>in 2006.</w:t>
      </w:r>
    </w:p>
  </w:endnote>
  <w:endnote w:id="4">
    <w:p w:rsidR="006D58CF" w:rsidRPr="009C7207" w:rsidRDefault="006D58CF" w:rsidP="00BC4EC1">
      <w:pPr>
        <w:pStyle w:val="EndnoteText"/>
      </w:pPr>
      <w:r w:rsidRPr="007B2567">
        <w:rPr>
          <w:rStyle w:val="EndnoteReference"/>
          <w:szCs w:val="18"/>
        </w:rPr>
        <w:endnoteRef/>
      </w:r>
      <w:r w:rsidRPr="00DA12FA">
        <w:rPr>
          <w:sz w:val="22"/>
        </w:rPr>
        <w:t xml:space="preserve"> </w:t>
      </w:r>
      <w:r w:rsidRPr="009C7207">
        <w:t>Language Access Act of 2004.</w:t>
      </w:r>
    </w:p>
  </w:endnote>
  <w:endnote w:id="5">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This benchmark was designed to be low because of the relatively small size of the population and the high linguistic diversity of the LEP population in Washington</w:t>
      </w:r>
      <w:r>
        <w:rPr>
          <w:szCs w:val="18"/>
        </w:rPr>
        <w:t>, DC</w:t>
      </w:r>
      <w:r w:rsidRPr="009C7207">
        <w:rPr>
          <w:szCs w:val="18"/>
        </w:rPr>
        <w:t>. In larger cities, the parallel threshold triggering language access requirements is much higher. In San Francisco, the benchmark is 10,000 people or 5</w:t>
      </w:r>
      <w:r w:rsidR="00D04029">
        <w:rPr>
          <w:szCs w:val="18"/>
        </w:rPr>
        <w:t xml:space="preserve"> percent</w:t>
      </w:r>
      <w:r w:rsidRPr="009C7207">
        <w:rPr>
          <w:szCs w:val="18"/>
        </w:rPr>
        <w:t>, and Oakland’s is 10,000 people</w:t>
      </w:r>
      <w:r w:rsidR="00D04029">
        <w:rPr>
          <w:szCs w:val="18"/>
        </w:rPr>
        <w:t xml:space="preserve"> (see </w:t>
      </w:r>
      <w:r w:rsidR="00D04029" w:rsidRPr="00D04029">
        <w:rPr>
          <w:szCs w:val="18"/>
        </w:rPr>
        <w:t>City of Oakland</w:t>
      </w:r>
      <w:r w:rsidR="00D04029">
        <w:rPr>
          <w:szCs w:val="18"/>
        </w:rPr>
        <w:t>,</w:t>
      </w:r>
      <w:r w:rsidR="00D04029" w:rsidRPr="00D04029">
        <w:rPr>
          <w:szCs w:val="18"/>
        </w:rPr>
        <w:t xml:space="preserve"> </w:t>
      </w:r>
      <w:r w:rsidR="00D04029">
        <w:rPr>
          <w:szCs w:val="18"/>
        </w:rPr>
        <w:t>“</w:t>
      </w:r>
      <w:r w:rsidR="00D04029" w:rsidRPr="00D04029">
        <w:rPr>
          <w:szCs w:val="18"/>
        </w:rPr>
        <w:t>Agenda Report</w:t>
      </w:r>
      <w:r w:rsidR="00D04029">
        <w:rPr>
          <w:szCs w:val="18"/>
        </w:rPr>
        <w:t>,”</w:t>
      </w:r>
      <w:r w:rsidR="00D04029" w:rsidRPr="00D04029">
        <w:rPr>
          <w:szCs w:val="18"/>
        </w:rPr>
        <w:t xml:space="preserve"> September 24, 2013, http://www2.oaklandnet.com/oakca1/groups/hrm/documents/report/oak045044.pdf</w:t>
      </w:r>
      <w:r w:rsidR="00D04029">
        <w:rPr>
          <w:szCs w:val="18"/>
        </w:rPr>
        <w:t>)</w:t>
      </w:r>
      <w:r w:rsidRPr="009C7207">
        <w:rPr>
          <w:szCs w:val="18"/>
        </w:rPr>
        <w:t>.</w:t>
      </w:r>
    </w:p>
  </w:endnote>
  <w:endnote w:id="6">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This </w:t>
      </w:r>
      <w:r>
        <w:rPr>
          <w:szCs w:val="18"/>
        </w:rPr>
        <w:t xml:space="preserve">group </w:t>
      </w:r>
      <w:r w:rsidRPr="009C7207">
        <w:rPr>
          <w:szCs w:val="18"/>
        </w:rPr>
        <w:t>included the Office on Latino Affairs (OLA) and the Office on Asian and Pacific Islander Affairs (OAPIA)</w:t>
      </w:r>
      <w:r>
        <w:rPr>
          <w:szCs w:val="18"/>
        </w:rPr>
        <w:t>.</w:t>
      </w:r>
      <w:r w:rsidRPr="009C7207">
        <w:rPr>
          <w:szCs w:val="18"/>
        </w:rPr>
        <w:t xml:space="preserve"> </w:t>
      </w:r>
      <w:r>
        <w:rPr>
          <w:szCs w:val="18"/>
        </w:rPr>
        <w:t xml:space="preserve">It </w:t>
      </w:r>
      <w:r w:rsidRPr="009C7207">
        <w:rPr>
          <w:szCs w:val="18"/>
        </w:rPr>
        <w:t>later included the Office on African Affairs (OAA)</w:t>
      </w:r>
      <w:r>
        <w:rPr>
          <w:szCs w:val="18"/>
        </w:rPr>
        <w:t>,</w:t>
      </w:r>
      <w:r w:rsidRPr="009C7207">
        <w:rPr>
          <w:szCs w:val="18"/>
        </w:rPr>
        <w:t xml:space="preserve"> which was established several years after the Act’s passage.</w:t>
      </w:r>
    </w:p>
  </w:endnote>
  <w:endnote w:id="7">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See </w:t>
      </w:r>
      <w:r>
        <w:rPr>
          <w:szCs w:val="18"/>
        </w:rPr>
        <w:t>a</w:t>
      </w:r>
      <w:r w:rsidRPr="009C7207">
        <w:rPr>
          <w:szCs w:val="18"/>
        </w:rPr>
        <w:t xml:space="preserve">ppendix </w:t>
      </w:r>
      <w:r>
        <w:rPr>
          <w:szCs w:val="18"/>
        </w:rPr>
        <w:t>B</w:t>
      </w:r>
      <w:r w:rsidRPr="009C7207">
        <w:rPr>
          <w:szCs w:val="18"/>
        </w:rPr>
        <w:t xml:space="preserve"> for the tiered list of agencies, available in </w:t>
      </w:r>
      <w:r>
        <w:rPr>
          <w:szCs w:val="18"/>
        </w:rPr>
        <w:t xml:space="preserve">the 2007 </w:t>
      </w:r>
      <w:r w:rsidRPr="009C7207">
        <w:rPr>
          <w:szCs w:val="18"/>
        </w:rPr>
        <w:t>Language Access Fact Sheet (</w:t>
      </w:r>
      <w:r w:rsidR="00D15681">
        <w:rPr>
          <w:szCs w:val="18"/>
        </w:rPr>
        <w:t xml:space="preserve">DC OHR </w:t>
      </w:r>
      <w:r w:rsidRPr="009C7207">
        <w:rPr>
          <w:szCs w:val="18"/>
        </w:rPr>
        <w:t>2007</w:t>
      </w:r>
      <w:r w:rsidR="00D15681">
        <w:rPr>
          <w:szCs w:val="18"/>
        </w:rPr>
        <w:t>a</w:t>
      </w:r>
      <w:r w:rsidRPr="009C7207">
        <w:rPr>
          <w:szCs w:val="18"/>
        </w:rPr>
        <w:t>).</w:t>
      </w:r>
    </w:p>
  </w:endnote>
  <w:endnote w:id="8">
    <w:p w:rsidR="006D58CF" w:rsidRPr="004671B5" w:rsidRDefault="006D58CF" w:rsidP="00BC4EC1">
      <w:pPr>
        <w:pStyle w:val="EndnoteText"/>
        <w:rPr>
          <w:szCs w:val="18"/>
        </w:rPr>
      </w:pPr>
      <w:r w:rsidRPr="00C4732B">
        <w:rPr>
          <w:rStyle w:val="EndnoteReference"/>
          <w:szCs w:val="18"/>
        </w:rPr>
        <w:endnoteRef/>
      </w:r>
      <w:r w:rsidRPr="00C4732B">
        <w:rPr>
          <w:szCs w:val="18"/>
        </w:rPr>
        <w:t xml:space="preserve"> </w:t>
      </w:r>
      <w:r w:rsidRPr="00C60AA5">
        <w:rPr>
          <w:szCs w:val="18"/>
        </w:rPr>
        <w:t>According to 2008 regulations, Section 120</w:t>
      </w:r>
      <w:r w:rsidRPr="008E42DC">
        <w:rPr>
          <w:szCs w:val="18"/>
        </w:rPr>
        <w:t>5.1 states that “covered entities are any District government agency, department, or program that furnishes information or renders services, programs, or activities directly to the public or contracts</w:t>
      </w:r>
      <w:r>
        <w:rPr>
          <w:szCs w:val="18"/>
        </w:rPr>
        <w:t xml:space="preserve"> </w:t>
      </w:r>
      <w:r w:rsidRPr="00450ACB">
        <w:rPr>
          <w:szCs w:val="18"/>
        </w:rPr>
        <w:t>with other entities, ei</w:t>
      </w:r>
      <w:r w:rsidRPr="00501A89">
        <w:rPr>
          <w:szCs w:val="18"/>
        </w:rPr>
        <w:t>ther directly or indirectly, to conduct programs, services or activities to the public.</w:t>
      </w:r>
      <w:r w:rsidRPr="00FF01E4">
        <w:rPr>
          <w:szCs w:val="18"/>
        </w:rPr>
        <w:t xml:space="preserve">” Section 1205 lists the requirements, which </w:t>
      </w:r>
      <w:r w:rsidRPr="004671B5">
        <w:rPr>
          <w:szCs w:val="18"/>
        </w:rPr>
        <w:t>echo the language in the original Act regarding the four-point test, and the 500 person or 3</w:t>
      </w:r>
      <w:r>
        <w:rPr>
          <w:szCs w:val="18"/>
        </w:rPr>
        <w:t xml:space="preserve"> percent</w:t>
      </w:r>
      <w:r w:rsidRPr="004671B5">
        <w:rPr>
          <w:szCs w:val="18"/>
        </w:rPr>
        <w:t xml:space="preserve"> benchmark for triggering translation of vital documents.</w:t>
      </w:r>
    </w:p>
  </w:endnote>
  <w:endnote w:id="9">
    <w:p w:rsidR="006D58CF" w:rsidRPr="009C7207" w:rsidRDefault="006D58CF" w:rsidP="00BC4EC1">
      <w:pPr>
        <w:pStyle w:val="EndnoteText"/>
        <w:rPr>
          <w:szCs w:val="18"/>
        </w:rPr>
      </w:pPr>
      <w:r w:rsidRPr="009C7207">
        <w:rPr>
          <w:rStyle w:val="EndnoteReference"/>
          <w:szCs w:val="18"/>
        </w:rPr>
        <w:endnoteRef/>
      </w:r>
      <w:r>
        <w:rPr>
          <w:szCs w:val="18"/>
        </w:rPr>
        <w:t xml:space="preserve"> </w:t>
      </w:r>
      <w:r w:rsidRPr="009C7207">
        <w:rPr>
          <w:szCs w:val="18"/>
        </w:rPr>
        <w:t>Detailed requirements are listed in Section 1206.</w:t>
      </w:r>
    </w:p>
  </w:endnote>
  <w:endnote w:id="10">
    <w:p w:rsidR="006D58CF" w:rsidRPr="0040273A" w:rsidRDefault="006D58CF" w:rsidP="00BC4EC1">
      <w:pPr>
        <w:pStyle w:val="EndnoteText"/>
        <w:rPr>
          <w:szCs w:val="18"/>
        </w:rPr>
      </w:pPr>
      <w:r w:rsidRPr="009C7207">
        <w:rPr>
          <w:rStyle w:val="EndnoteReference"/>
          <w:szCs w:val="18"/>
        </w:rPr>
        <w:endnoteRef/>
      </w:r>
      <w:r>
        <w:rPr>
          <w:szCs w:val="18"/>
        </w:rPr>
        <w:t xml:space="preserve"> </w:t>
      </w:r>
      <w:r w:rsidRPr="009C7207">
        <w:rPr>
          <w:szCs w:val="18"/>
        </w:rPr>
        <w:t>OHR staffing for administration of the Language Access Act has varied over the decade, fluctuating between one and two full-time staff members</w:t>
      </w:r>
      <w:r>
        <w:rPr>
          <w:szCs w:val="18"/>
        </w:rPr>
        <w:t xml:space="preserve"> and paid interns.</w:t>
      </w:r>
    </w:p>
  </w:endnote>
  <w:endnote w:id="11">
    <w:p w:rsidR="006D58CF" w:rsidRPr="009C7207" w:rsidRDefault="006D58CF" w:rsidP="00BC4EC1">
      <w:pPr>
        <w:pStyle w:val="EndnoteText"/>
        <w:rPr>
          <w:szCs w:val="18"/>
        </w:rPr>
      </w:pPr>
      <w:r w:rsidRPr="009C7207">
        <w:rPr>
          <w:rStyle w:val="EndnoteReference"/>
          <w:szCs w:val="18"/>
        </w:rPr>
        <w:endnoteRef/>
      </w:r>
      <w:r>
        <w:rPr>
          <w:szCs w:val="18"/>
        </w:rPr>
        <w:t xml:space="preserve"> T</w:t>
      </w:r>
      <w:r w:rsidRPr="009C7207">
        <w:rPr>
          <w:szCs w:val="18"/>
        </w:rPr>
        <w:t xml:space="preserve">hose who speak “Chinese” might speak Mandarin, Cantonese, or another Chinese language. The ACS provides numbers of Mandarin and Cantonese speakers, for those who self-report those languages, but it appears most people speaking a Chinese language do not specify which language, so these numbers are </w:t>
      </w:r>
      <w:r>
        <w:rPr>
          <w:szCs w:val="18"/>
        </w:rPr>
        <w:t>un</w:t>
      </w:r>
      <w:r w:rsidRPr="009C7207">
        <w:rPr>
          <w:szCs w:val="18"/>
        </w:rPr>
        <w:t>reliable. Those who speak “Amharic/Ethiopian” might speak Amharic, Tigrinya, or other languages common in Ethiopia.</w:t>
      </w:r>
    </w:p>
  </w:endnote>
  <w:endnote w:id="12">
    <w:p w:rsidR="006D58CF" w:rsidRPr="008E42DC" w:rsidRDefault="006D58CF" w:rsidP="00BC4EC1">
      <w:pPr>
        <w:pStyle w:val="EndnoteText"/>
        <w:rPr>
          <w:szCs w:val="18"/>
        </w:rPr>
      </w:pPr>
      <w:r w:rsidRPr="00C4732B">
        <w:rPr>
          <w:rStyle w:val="EndnoteReference"/>
          <w:szCs w:val="18"/>
        </w:rPr>
        <w:endnoteRef/>
      </w:r>
      <w:r w:rsidRPr="00C4732B">
        <w:rPr>
          <w:szCs w:val="18"/>
        </w:rPr>
        <w:t xml:space="preserve"> </w:t>
      </w:r>
      <w:r>
        <w:rPr>
          <w:szCs w:val="18"/>
        </w:rPr>
        <w:t>M</w:t>
      </w:r>
      <w:r w:rsidRPr="008E42DC">
        <w:rPr>
          <w:szCs w:val="18"/>
        </w:rPr>
        <w:t>any of the French</w:t>
      </w:r>
      <w:r>
        <w:rPr>
          <w:szCs w:val="18"/>
        </w:rPr>
        <w:t>-</w:t>
      </w:r>
      <w:r w:rsidRPr="008E42DC">
        <w:rPr>
          <w:szCs w:val="18"/>
        </w:rPr>
        <w:t xml:space="preserve">speaking LEP/NEP individuals in </w:t>
      </w:r>
      <w:r>
        <w:rPr>
          <w:szCs w:val="18"/>
        </w:rPr>
        <w:t>t</w:t>
      </w:r>
      <w:r w:rsidRPr="008E42DC">
        <w:rPr>
          <w:szCs w:val="18"/>
        </w:rPr>
        <w:t>he District are from French-speaking African countries.</w:t>
      </w:r>
    </w:p>
  </w:endnote>
  <w:endnote w:id="13">
    <w:p w:rsidR="006D58CF" w:rsidRPr="00FF01E4" w:rsidRDefault="006D58CF" w:rsidP="00BC4EC1">
      <w:pPr>
        <w:pStyle w:val="EndnoteText"/>
        <w:rPr>
          <w:szCs w:val="18"/>
        </w:rPr>
      </w:pPr>
      <w:r w:rsidRPr="00450ACB">
        <w:rPr>
          <w:rStyle w:val="EndnoteReference"/>
          <w:szCs w:val="18"/>
        </w:rPr>
        <w:endnoteRef/>
      </w:r>
      <w:r w:rsidRPr="00501A89">
        <w:rPr>
          <w:szCs w:val="18"/>
        </w:rPr>
        <w:t xml:space="preserve"> </w:t>
      </w:r>
      <w:proofErr w:type="spellStart"/>
      <w:r w:rsidRPr="00FF01E4">
        <w:rPr>
          <w:szCs w:val="18"/>
        </w:rPr>
        <w:t>Kru</w:t>
      </w:r>
      <w:proofErr w:type="spellEnd"/>
      <w:r w:rsidRPr="00FF01E4">
        <w:rPr>
          <w:szCs w:val="18"/>
        </w:rPr>
        <w:t xml:space="preserve"> is spoken primarily in the Ivory Coast, Burkina Faso, and Liberia.</w:t>
      </w:r>
    </w:p>
  </w:endnote>
  <w:endnote w:id="14">
    <w:p w:rsidR="006D58CF" w:rsidRPr="0040273A" w:rsidRDefault="006D58CF">
      <w:pPr>
        <w:pStyle w:val="EndnoteText"/>
      </w:pPr>
      <w:r>
        <w:rPr>
          <w:rStyle w:val="EndnoteReference"/>
        </w:rPr>
        <w:endnoteRef/>
      </w:r>
      <w:r>
        <w:t xml:space="preserve"> Of the US-born LEP/NEP population in the District, 64 percent speak Spanish and 31 percent are children (age 5-17). It is possible that some individuals in this category were born in the United States but grew up outside the United States speaking a language other than English. It is also possible that these individuals apply a higher standard of what counts as speaking English “very well” than foreign-born individuals. Otherwise, we cannot be sure what lies behind the existence of these substantial numbers of US-born LEP/NEP individuals. </w:t>
      </w:r>
    </w:p>
  </w:endnote>
  <w:endnote w:id="15">
    <w:p w:rsidR="006D58CF" w:rsidRPr="009C7207" w:rsidRDefault="006D58CF">
      <w:pPr>
        <w:pStyle w:val="EndnoteText"/>
      </w:pPr>
      <w:r>
        <w:rPr>
          <w:rStyle w:val="EndnoteReference"/>
        </w:rPr>
        <w:endnoteRef/>
      </w:r>
      <w:r>
        <w:t xml:space="preserve"> The number of French-speaking LEP/NEP individuals in the greater DC area is statistically significantly greater than the number of Tagalog/Filipino-speaking LEP/NEP individuals in greater DC.</w:t>
      </w:r>
    </w:p>
  </w:endnote>
  <w:endnote w:id="16">
    <w:p w:rsidR="006D58CF" w:rsidRPr="004671B5" w:rsidRDefault="006D58CF" w:rsidP="00BC4EC1">
      <w:pPr>
        <w:pStyle w:val="EndnoteText"/>
        <w:rPr>
          <w:szCs w:val="18"/>
        </w:rPr>
      </w:pPr>
      <w:r w:rsidRPr="004671B5">
        <w:rPr>
          <w:rStyle w:val="EndnoteReference"/>
          <w:szCs w:val="18"/>
        </w:rPr>
        <w:endnoteRef/>
      </w:r>
      <w:r w:rsidRPr="004671B5">
        <w:rPr>
          <w:szCs w:val="18"/>
        </w:rPr>
        <w:t xml:space="preserve"> We provide these numbers for the greater DC area, because the counts are too small to calculate them for The District proper.</w:t>
      </w:r>
    </w:p>
  </w:endnote>
  <w:endnote w:id="17">
    <w:p w:rsidR="006D58CF" w:rsidRPr="0040273A" w:rsidRDefault="006D58CF">
      <w:pPr>
        <w:pStyle w:val="EndnoteText"/>
      </w:pPr>
      <w:r>
        <w:rPr>
          <w:rStyle w:val="EndnoteReference"/>
        </w:rPr>
        <w:endnoteRef/>
      </w:r>
      <w:r>
        <w:t xml:space="preserve"> The category “noncitizens” includes foreign-born individuals in several immigration statuses: legal permanent residents with green cards; temporary legal immigrants</w:t>
      </w:r>
      <w:r w:rsidR="00D04029">
        <w:t>,</w:t>
      </w:r>
      <w:r>
        <w:t xml:space="preserve"> such as students or those on temporary work visas; refugees and </w:t>
      </w:r>
      <w:proofErr w:type="spellStart"/>
      <w:r>
        <w:t>asylees</w:t>
      </w:r>
      <w:proofErr w:type="spellEnd"/>
      <w:r>
        <w:t>; and undocumented immigrants. The category “citizens” includes US-born citizens as well as foreign-born individuals who have gone through the naturalization process to obtain citizenship.</w:t>
      </w:r>
    </w:p>
  </w:endnote>
  <w:endnote w:id="18">
    <w:p w:rsidR="006D58CF" w:rsidRPr="009C7207" w:rsidRDefault="006D58CF" w:rsidP="00BC4EC1">
      <w:pPr>
        <w:pStyle w:val="EndnoteText"/>
        <w:rPr>
          <w:szCs w:val="18"/>
        </w:rPr>
      </w:pPr>
      <w:r w:rsidRPr="009C7207">
        <w:rPr>
          <w:rStyle w:val="EndnoteReference"/>
          <w:szCs w:val="18"/>
        </w:rPr>
        <w:endnoteRef/>
      </w:r>
      <w:r>
        <w:rPr>
          <w:szCs w:val="18"/>
        </w:rPr>
        <w:t xml:space="preserve"> </w:t>
      </w:r>
      <w:r w:rsidRPr="009C7207">
        <w:rPr>
          <w:szCs w:val="18"/>
        </w:rPr>
        <w:t xml:space="preserve">The </w:t>
      </w:r>
      <w:r>
        <w:rPr>
          <w:szCs w:val="18"/>
        </w:rPr>
        <w:t xml:space="preserve">American University </w:t>
      </w:r>
      <w:r w:rsidRPr="009C7207">
        <w:rPr>
          <w:szCs w:val="18"/>
        </w:rPr>
        <w:t>report suggests that language line use and sign-in sheets is not a comprehensive enough measure of client needs (page 2)</w:t>
      </w:r>
      <w:r>
        <w:rPr>
          <w:szCs w:val="18"/>
        </w:rPr>
        <w:t>;</w:t>
      </w:r>
      <w:r w:rsidRPr="009C7207">
        <w:rPr>
          <w:szCs w:val="18"/>
        </w:rPr>
        <w:t xml:space="preserve"> </w:t>
      </w:r>
      <w:r>
        <w:rPr>
          <w:szCs w:val="18"/>
        </w:rPr>
        <w:t xml:space="preserve">it </w:t>
      </w:r>
      <w:r w:rsidRPr="009C7207">
        <w:rPr>
          <w:szCs w:val="18"/>
        </w:rPr>
        <w:t>also notes gaps in monitoring.</w:t>
      </w:r>
    </w:p>
  </w:endnote>
  <w:endnote w:id="19">
    <w:p w:rsidR="006D58CF" w:rsidRPr="00434A47" w:rsidRDefault="006D58CF">
      <w:pPr>
        <w:pStyle w:val="EndnoteText"/>
      </w:pPr>
      <w:r>
        <w:rPr>
          <w:rStyle w:val="EndnoteReference"/>
        </w:rPr>
        <w:endnoteRef/>
      </w:r>
      <w:r>
        <w:t xml:space="preserve"> Tigrinya is spoken by members of the </w:t>
      </w:r>
      <w:proofErr w:type="spellStart"/>
      <w:r w:rsidRPr="0040273A">
        <w:rPr>
          <w:bCs/>
        </w:rPr>
        <w:t>Tigray</w:t>
      </w:r>
      <w:proofErr w:type="spellEnd"/>
      <w:r w:rsidRPr="0040273A">
        <w:rPr>
          <w:bCs/>
        </w:rPr>
        <w:t>-Tigrinya</w:t>
      </w:r>
      <w:r>
        <w:t xml:space="preserve"> ethnic group in parts of Ethiopia and Eritrea. </w:t>
      </w:r>
    </w:p>
  </w:endnote>
  <w:endnote w:id="20">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In particular</w:t>
      </w:r>
      <w:r>
        <w:rPr>
          <w:szCs w:val="18"/>
        </w:rPr>
        <w:t>,</w:t>
      </w:r>
      <w:r w:rsidRPr="009C7207">
        <w:rPr>
          <w:szCs w:val="18"/>
        </w:rPr>
        <w:t xml:space="preserve"> the mechanism by which individuals submit reports of violations they experienced at an agency</w:t>
      </w:r>
      <w:r>
        <w:rPr>
          <w:szCs w:val="18"/>
        </w:rPr>
        <w:t>.</w:t>
      </w:r>
    </w:p>
  </w:endnote>
  <w:endnote w:id="21">
    <w:p w:rsidR="006D58CF" w:rsidRPr="009C7207" w:rsidRDefault="006D58CF" w:rsidP="00BC4EC1">
      <w:pPr>
        <w:pStyle w:val="EndnoteText"/>
        <w:rPr>
          <w:szCs w:val="18"/>
        </w:rPr>
      </w:pPr>
      <w:r w:rsidRPr="000C65D0">
        <w:rPr>
          <w:rStyle w:val="EndnoteReference"/>
          <w:szCs w:val="18"/>
        </w:rPr>
        <w:endnoteRef/>
      </w:r>
      <w:r w:rsidRPr="009C7207">
        <w:t xml:space="preserve"> The Language Access Program has a formal waiver process and form </w:t>
      </w:r>
      <w:r>
        <w:t xml:space="preserve">that were </w:t>
      </w:r>
      <w:r w:rsidRPr="009C7207">
        <w:t xml:space="preserve">designed to accommodate this practice. The form is supposed to be used by frontline employees when clients opt out of language access services because they have brought their own informal interpreters with them. </w:t>
      </w:r>
    </w:p>
  </w:endnote>
  <w:endnote w:id="22">
    <w:p w:rsidR="006D58CF" w:rsidRDefault="006D58CF">
      <w:pPr>
        <w:pStyle w:val="EndnoteText"/>
      </w:pPr>
      <w:r>
        <w:rPr>
          <w:rStyle w:val="EndnoteReference"/>
        </w:rPr>
        <w:endnoteRef/>
      </w:r>
      <w:r>
        <w:t xml:space="preserve"> See also Robin </w:t>
      </w:r>
      <w:r w:rsidRPr="00DA12FA">
        <w:t>Ghertner, “Practitioner’s Corner: How to Assess the Effectiveness of Language Access Programs</w:t>
      </w:r>
      <w:r>
        <w:t>,</w:t>
      </w:r>
      <w:r w:rsidRPr="00DA12FA">
        <w:t>” Migration Policy Institute</w:t>
      </w:r>
      <w:r>
        <w:t>,</w:t>
      </w:r>
      <w:r w:rsidRPr="00DA12FA">
        <w:t xml:space="preserve"> </w:t>
      </w:r>
      <w:r>
        <w:t xml:space="preserve">accessed March 31, 2014, </w:t>
      </w:r>
      <w:r w:rsidRPr="00DA12FA">
        <w:t>http://www.migrationpolicy.org/programs/language-access-translation-and-interpretation-policies-and-practices/practitioners-corn-1</w:t>
      </w:r>
      <w:r>
        <w:t>.</w:t>
      </w:r>
    </w:p>
  </w:endnote>
  <w:endnote w:id="23">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w:t>
      </w:r>
      <w:r>
        <w:rPr>
          <w:szCs w:val="18"/>
        </w:rPr>
        <w:t xml:space="preserve">The DOJ </w:t>
      </w:r>
      <w:r w:rsidRPr="009C7207">
        <w:rPr>
          <w:szCs w:val="18"/>
        </w:rPr>
        <w:t>guidelines also emphasize the importance of contact with CBOs to help identify populations that require outreach.</w:t>
      </w:r>
    </w:p>
  </w:endnote>
  <w:endnote w:id="24">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Wage bonuses are provided to certified bilingual employees in neighboring Montgomery County, MD</w:t>
      </w:r>
      <w:r>
        <w:rPr>
          <w:szCs w:val="18"/>
        </w:rPr>
        <w:t>.</w:t>
      </w:r>
      <w:r w:rsidRPr="009C7207">
        <w:rPr>
          <w:szCs w:val="18"/>
        </w:rPr>
        <w:t xml:space="preserve"> </w:t>
      </w:r>
      <w:r>
        <w:rPr>
          <w:szCs w:val="18"/>
        </w:rPr>
        <w:t>S</w:t>
      </w:r>
      <w:r w:rsidRPr="009C7207">
        <w:rPr>
          <w:szCs w:val="18"/>
        </w:rPr>
        <w:t xml:space="preserve">ee </w:t>
      </w:r>
      <w:r>
        <w:rPr>
          <w:szCs w:val="18"/>
        </w:rPr>
        <w:t xml:space="preserve">Lily </w:t>
      </w:r>
      <w:r w:rsidRPr="009C7207">
        <w:rPr>
          <w:szCs w:val="18"/>
        </w:rPr>
        <w:t>Qi, “</w:t>
      </w:r>
      <w:r w:rsidRPr="009C7207">
        <w:rPr>
          <w:bCs/>
          <w:color w:val="333333"/>
          <w:szCs w:val="18"/>
        </w:rPr>
        <w:t>Practitioner’s Corner: Doing More with Less on Language Access</w:t>
      </w:r>
      <w:r>
        <w:rPr>
          <w:bCs/>
          <w:color w:val="333333"/>
          <w:szCs w:val="18"/>
        </w:rPr>
        <w:t>,</w:t>
      </w:r>
      <w:r w:rsidRPr="009C7207">
        <w:rPr>
          <w:bCs/>
          <w:color w:val="333333"/>
          <w:szCs w:val="18"/>
        </w:rPr>
        <w:t xml:space="preserve">” Migration Policy Institute, accessed </w:t>
      </w:r>
      <w:r>
        <w:rPr>
          <w:bCs/>
          <w:color w:val="333333"/>
          <w:szCs w:val="18"/>
        </w:rPr>
        <w:t xml:space="preserve">March 31, 2014, </w:t>
      </w:r>
      <w:hyperlink r:id="rId1" w:history="1">
        <w:r w:rsidRPr="000C65D0">
          <w:rPr>
            <w:rStyle w:val="Hyperlink"/>
            <w:bCs/>
            <w:szCs w:val="18"/>
          </w:rPr>
          <w:t>http://www.migrationpolicy.org/programs/language-access-translation-and-interpretation-policies-and-practices/practitioners-corner-more</w:t>
        </w:r>
      </w:hyperlink>
      <w:r w:rsidRPr="000C65D0">
        <w:rPr>
          <w:rStyle w:val="Hyperlink"/>
          <w:bCs/>
          <w:szCs w:val="18"/>
        </w:rPr>
        <w:t>.</w:t>
      </w:r>
    </w:p>
  </w:endnote>
  <w:endnote w:id="25">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A recent initiative led by the Office of African Affairs to create job circles and culminating in a bilingual job fair to connect the African community to municipal positions is a good model.</w:t>
      </w:r>
    </w:p>
  </w:endnote>
  <w:endnote w:id="26">
    <w:p w:rsidR="006D58CF" w:rsidRPr="009C7207" w:rsidRDefault="006D58CF" w:rsidP="00BC4EC1">
      <w:pPr>
        <w:pStyle w:val="EndnoteText"/>
        <w:rPr>
          <w:szCs w:val="18"/>
        </w:rPr>
      </w:pPr>
      <w:r w:rsidRPr="009C7207">
        <w:rPr>
          <w:rStyle w:val="EndnoteReference"/>
          <w:szCs w:val="18"/>
        </w:rPr>
        <w:endnoteRef/>
      </w:r>
      <w:r w:rsidRPr="009C7207">
        <w:rPr>
          <w:szCs w:val="18"/>
        </w:rPr>
        <w:t xml:space="preserve"> Best practices suggest that it is important to develop support from middle and senior management, see </w:t>
      </w:r>
      <w:proofErr w:type="spellStart"/>
      <w:r w:rsidRPr="009C7207">
        <w:rPr>
          <w:szCs w:val="18"/>
        </w:rPr>
        <w:t>Laglagaron</w:t>
      </w:r>
      <w:proofErr w:type="spellEnd"/>
      <w:r w:rsidRPr="009C7207">
        <w:rPr>
          <w:szCs w:val="18"/>
        </w:rPr>
        <w:t xml:space="preserve"> </w:t>
      </w:r>
      <w:r>
        <w:rPr>
          <w:szCs w:val="18"/>
        </w:rPr>
        <w:t xml:space="preserve">and </w:t>
      </w:r>
      <w:proofErr w:type="spellStart"/>
      <w:r w:rsidRPr="00DA12FA">
        <w:rPr>
          <w:szCs w:val="18"/>
        </w:rPr>
        <w:t>Sperling</w:t>
      </w:r>
      <w:proofErr w:type="spellEnd"/>
      <w:r w:rsidRPr="00DA12FA">
        <w:rPr>
          <w:szCs w:val="18"/>
        </w:rPr>
        <w:t xml:space="preserve"> </w:t>
      </w:r>
      <w:r>
        <w:rPr>
          <w:szCs w:val="18"/>
        </w:rPr>
        <w:t>(</w:t>
      </w:r>
      <w:r w:rsidRPr="009C7207">
        <w:rPr>
          <w:szCs w:val="18"/>
        </w:rPr>
        <w:t>2009,</w:t>
      </w:r>
      <w:r>
        <w:rPr>
          <w:szCs w:val="18"/>
        </w:rPr>
        <w:t xml:space="preserve"> </w:t>
      </w:r>
      <w:r w:rsidRPr="009C7207">
        <w:rPr>
          <w:szCs w:val="18"/>
        </w:rPr>
        <w:t>14</w:t>
      </w:r>
      <w:r>
        <w:rPr>
          <w:szCs w:val="18"/>
        </w:rPr>
        <w:t>)</w:t>
      </w:r>
      <w:r w:rsidRPr="009C7207">
        <w:rPr>
          <w:szCs w:val="18"/>
        </w:rPr>
        <w:t>.</w:t>
      </w:r>
    </w:p>
  </w:endnote>
  <w:endnote w:id="27">
    <w:p w:rsidR="006D58CF" w:rsidRDefault="006D58CF">
      <w:pPr>
        <w:pStyle w:val="EndnoteText"/>
      </w:pPr>
      <w:r>
        <w:rPr>
          <w:rStyle w:val="EndnoteReference"/>
        </w:rPr>
        <w:endnoteRef/>
      </w:r>
      <w:r>
        <w:t xml:space="preserve"> </w:t>
      </w:r>
      <w:r w:rsidRPr="009C7207">
        <w:rPr>
          <w:szCs w:val="18"/>
        </w:rPr>
        <w:t>Qi, “</w:t>
      </w:r>
      <w:r w:rsidRPr="009C7207">
        <w:rPr>
          <w:bCs/>
          <w:color w:val="333333"/>
          <w:szCs w:val="18"/>
        </w:rPr>
        <w:t>Doing More with Less on Language Access</w:t>
      </w:r>
      <w:r>
        <w:rPr>
          <w:bCs/>
          <w:color w:val="333333"/>
          <w:szCs w:val="18"/>
        </w:rPr>
        <w:t>,</w:t>
      </w:r>
      <w:r w:rsidRPr="009C7207">
        <w:rPr>
          <w:bCs/>
          <w:color w:val="333333"/>
          <w:szCs w:val="18"/>
        </w:rPr>
        <w:t xml:space="preserve">” </w:t>
      </w:r>
      <w:hyperlink r:id="rId2" w:history="1">
        <w:r w:rsidRPr="000C65D0">
          <w:rPr>
            <w:rStyle w:val="Hyperlink"/>
            <w:bCs/>
            <w:szCs w:val="18"/>
          </w:rPr>
          <w:t>http://www.migrationpolicy.org/programs/language-access-translation-and-interpretation-policies-and-practices/practitioners-corner-more</w:t>
        </w:r>
      </w:hyperlink>
      <w:r w:rsidRPr="000C65D0">
        <w:rPr>
          <w:rStyle w:val="Hyperlink"/>
          <w:bCs/>
          <w:szCs w:val="18"/>
        </w:rPr>
        <w:t>.</w:t>
      </w:r>
    </w:p>
  </w:endnote>
  <w:endnote w:id="28">
    <w:p w:rsidR="006D58CF" w:rsidRDefault="006D58CF">
      <w:pPr>
        <w:pStyle w:val="EndnoteText"/>
      </w:pPr>
      <w:r>
        <w:rPr>
          <w:rStyle w:val="EndnoteReference"/>
        </w:rPr>
        <w:endnoteRef/>
      </w:r>
      <w:r>
        <w:t xml:space="preserve"> See </w:t>
      </w:r>
      <w:r w:rsidRPr="00856ED1">
        <w:t xml:space="preserve">“Practitioner’s Corner: Top 10 Best Practices for Multilingual Websites” adapted from Lee Van’s </w:t>
      </w:r>
      <w:r w:rsidRPr="0077099F">
        <w:rPr>
          <w:i/>
        </w:rPr>
        <w:t>Hispanic Online Best Practice</w:t>
      </w:r>
      <w:r>
        <w:rPr>
          <w:i/>
        </w:rPr>
        <w:t>,</w:t>
      </w:r>
      <w:r w:rsidRPr="00856ED1">
        <w:t xml:space="preserve"> Migration Policy </w:t>
      </w:r>
      <w:r>
        <w:t>I</w:t>
      </w:r>
      <w:r w:rsidRPr="00856ED1">
        <w:t>nstitute</w:t>
      </w:r>
      <w:r>
        <w:t>,</w:t>
      </w:r>
      <w:r w:rsidRPr="00856ED1">
        <w:t xml:space="preserve"> </w:t>
      </w:r>
      <w:r>
        <w:t xml:space="preserve">accessed March 31, 2014, </w:t>
      </w:r>
      <w:r w:rsidRPr="00856ED1">
        <w:t>http://www.migrationpolicy.org/programs/language-access-translation-and-interpretation-policies-and-practices/practitioners-corn-0</w:t>
      </w:r>
      <w:r>
        <w:t>.</w:t>
      </w:r>
    </w:p>
  </w:endnote>
  <w:endnote w:id="29">
    <w:p w:rsidR="006D58CF" w:rsidRDefault="006D58CF">
      <w:pPr>
        <w:pStyle w:val="EndnoteText"/>
      </w:pPr>
      <w:r>
        <w:rPr>
          <w:rStyle w:val="EndnoteReference"/>
        </w:rPr>
        <w:endnoteRef/>
      </w:r>
      <w:r>
        <w:t xml:space="preserve"> See </w:t>
      </w:r>
      <w:r w:rsidRPr="00D72080">
        <w:t xml:space="preserve">“Census Bureau Releases Estimates of Undercount and </w:t>
      </w:r>
      <w:proofErr w:type="spellStart"/>
      <w:r w:rsidRPr="00D72080">
        <w:t>Overcount</w:t>
      </w:r>
      <w:proofErr w:type="spellEnd"/>
      <w:r w:rsidRPr="00D72080">
        <w:t xml:space="preserve"> in the</w:t>
      </w:r>
      <w:r>
        <w:t xml:space="preserve"> 2010 Census,” US Census Bureau,</w:t>
      </w:r>
      <w:r w:rsidRPr="00D72080">
        <w:t xml:space="preserve"> </w:t>
      </w:r>
      <w:r>
        <w:t xml:space="preserve">press release, May 12, 2012, </w:t>
      </w:r>
      <w:r w:rsidRPr="00D72080">
        <w:t>https://www.census.gov/newsroom/releases/archives/2010_census/cb12-95.html.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3090C4"/>
      </w:tblBorders>
      <w:tblCellMar>
        <w:top w:w="72" w:type="dxa"/>
        <w:left w:w="0" w:type="dxa"/>
        <w:bottom w:w="72" w:type="dxa"/>
        <w:right w:w="0" w:type="dxa"/>
      </w:tblCellMar>
      <w:tblLook w:val="04A0" w:firstRow="1" w:lastRow="0" w:firstColumn="1" w:lastColumn="0" w:noHBand="0" w:noVBand="1"/>
    </w:tblPr>
    <w:tblGrid>
      <w:gridCol w:w="1008"/>
      <w:gridCol w:w="9072"/>
    </w:tblGrid>
    <w:tr w:rsidR="006D58CF" w:rsidRPr="002114E7">
      <w:tc>
        <w:tcPr>
          <w:tcW w:w="500" w:type="pct"/>
          <w:shd w:val="clear" w:color="auto" w:fill="auto"/>
          <w:noWrap/>
        </w:tcPr>
        <w:p w:rsidR="006D58CF" w:rsidRPr="007B2567" w:rsidRDefault="006D58CF" w:rsidP="00BC4EC1">
          <w:pPr>
            <w:pStyle w:val="Footer"/>
          </w:pPr>
          <w:r w:rsidRPr="007B2567">
            <w:fldChar w:fldCharType="begin"/>
          </w:r>
          <w:r w:rsidRPr="007B2567">
            <w:instrText xml:space="preserve"> PAGE </w:instrText>
          </w:r>
          <w:r w:rsidRPr="007B2567">
            <w:fldChar w:fldCharType="separate"/>
          </w:r>
          <w:r w:rsidR="004C37C5">
            <w:rPr>
              <w:noProof/>
            </w:rPr>
            <w:t>38</w:t>
          </w:r>
          <w:r w:rsidRPr="007B2567">
            <w:fldChar w:fldCharType="end"/>
          </w:r>
        </w:p>
      </w:tc>
      <w:tc>
        <w:tcPr>
          <w:tcW w:w="4500" w:type="pct"/>
          <w:shd w:val="clear" w:color="auto" w:fill="auto"/>
          <w:noWrap/>
        </w:tcPr>
        <w:p w:rsidR="006D58CF" w:rsidRPr="007B2567" w:rsidRDefault="00EA1FCD" w:rsidP="00BC4EC1">
          <w:pPr>
            <w:pStyle w:val="Footer"/>
            <w:jc w:val="right"/>
          </w:pPr>
          <w:r w:rsidRPr="007B2567">
            <w:t>URBAN INSTITUTE</w:t>
          </w:r>
        </w:p>
      </w:tc>
    </w:tr>
  </w:tbl>
  <w:p w:rsidR="006D58CF" w:rsidRPr="007B2567" w:rsidRDefault="006D58CF" w:rsidP="00BC4EC1">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3090C4"/>
      </w:tblBorders>
      <w:tblCellMar>
        <w:top w:w="72" w:type="dxa"/>
        <w:left w:w="115" w:type="dxa"/>
        <w:bottom w:w="72" w:type="dxa"/>
        <w:right w:w="115" w:type="dxa"/>
      </w:tblCellMar>
      <w:tblLook w:val="04A0" w:firstRow="1" w:lastRow="0" w:firstColumn="1" w:lastColumn="0" w:noHBand="0" w:noVBand="1"/>
    </w:tblPr>
    <w:tblGrid>
      <w:gridCol w:w="9072"/>
      <w:gridCol w:w="1008"/>
    </w:tblGrid>
    <w:tr w:rsidR="006D58CF" w:rsidRPr="002114E7">
      <w:trPr>
        <w:cantSplit/>
      </w:trPr>
      <w:tc>
        <w:tcPr>
          <w:tcW w:w="4500" w:type="pct"/>
          <w:noWrap/>
          <w:tcMar>
            <w:left w:w="0" w:type="dxa"/>
            <w:right w:w="0" w:type="dxa"/>
          </w:tcMar>
        </w:tcPr>
        <w:p w:rsidR="006D58CF" w:rsidRPr="007B2567" w:rsidRDefault="003A3D81" w:rsidP="00BC4EC1">
          <w:pPr>
            <w:pStyle w:val="Footer"/>
          </w:pPr>
          <w:fldSimple w:instr=" TITLE  \* Upper  \* MERGEFORMAT ">
            <w:r w:rsidR="004C37C5">
              <w:t>TEN YEARS OF LANGUAGE ACCESS IN WASHINGTON, DC</w:t>
            </w:r>
          </w:fldSimple>
        </w:p>
      </w:tc>
      <w:tc>
        <w:tcPr>
          <w:tcW w:w="500" w:type="pct"/>
          <w:shd w:val="clear" w:color="auto" w:fill="auto"/>
          <w:noWrap/>
          <w:tcMar>
            <w:left w:w="0" w:type="dxa"/>
            <w:right w:w="0" w:type="dxa"/>
          </w:tcMar>
        </w:tcPr>
        <w:p w:rsidR="006D58CF" w:rsidRPr="007B2567" w:rsidRDefault="006D58CF" w:rsidP="00BC4EC1">
          <w:pPr>
            <w:pStyle w:val="Footer"/>
            <w:jc w:val="right"/>
          </w:pPr>
          <w:r w:rsidRPr="007B2567">
            <w:fldChar w:fldCharType="begin"/>
          </w:r>
          <w:r w:rsidRPr="007B2567">
            <w:instrText xml:space="preserve"> PAGE   \* MERGEFORMAT </w:instrText>
          </w:r>
          <w:r w:rsidRPr="007B2567">
            <w:fldChar w:fldCharType="separate"/>
          </w:r>
          <w:r w:rsidR="004C37C5">
            <w:rPr>
              <w:noProof/>
            </w:rPr>
            <w:t>31</w:t>
          </w:r>
          <w:r w:rsidRPr="007B2567">
            <w:fldChar w:fldCharType="end"/>
          </w:r>
        </w:p>
      </w:tc>
    </w:tr>
  </w:tbl>
  <w:p w:rsidR="006D58CF" w:rsidRPr="007B2567" w:rsidRDefault="006D58CF" w:rsidP="00BC4EC1">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54" w:rsidRDefault="001E6C54" w:rsidP="00BC4EC1">
      <w:r>
        <w:separator/>
      </w:r>
    </w:p>
  </w:footnote>
  <w:footnote w:type="continuationSeparator" w:id="0">
    <w:p w:rsidR="001E6C54" w:rsidRDefault="001E6C54" w:rsidP="00BC4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2E5B4C"/>
    <w:lvl w:ilvl="0">
      <w:start w:val="1"/>
      <w:numFmt w:val="decimal"/>
      <w:lvlText w:val="%1."/>
      <w:lvlJc w:val="left"/>
      <w:pPr>
        <w:tabs>
          <w:tab w:val="num" w:pos="1800"/>
        </w:tabs>
        <w:ind w:left="1800" w:hanging="360"/>
      </w:pPr>
    </w:lvl>
  </w:abstractNum>
  <w:abstractNum w:abstractNumId="1">
    <w:nsid w:val="FFFFFF7D"/>
    <w:multiLevelType w:val="singleLevel"/>
    <w:tmpl w:val="220EF7D6"/>
    <w:lvl w:ilvl="0">
      <w:start w:val="1"/>
      <w:numFmt w:val="decimal"/>
      <w:lvlText w:val="%1."/>
      <w:lvlJc w:val="left"/>
      <w:pPr>
        <w:tabs>
          <w:tab w:val="num" w:pos="1440"/>
        </w:tabs>
        <w:ind w:left="1440" w:hanging="360"/>
      </w:pPr>
    </w:lvl>
  </w:abstractNum>
  <w:abstractNum w:abstractNumId="2">
    <w:nsid w:val="FFFFFF7E"/>
    <w:multiLevelType w:val="singleLevel"/>
    <w:tmpl w:val="31A60EE4"/>
    <w:lvl w:ilvl="0">
      <w:start w:val="1"/>
      <w:numFmt w:val="decimal"/>
      <w:lvlText w:val="%1."/>
      <w:lvlJc w:val="left"/>
      <w:pPr>
        <w:tabs>
          <w:tab w:val="num" w:pos="1080"/>
        </w:tabs>
        <w:ind w:left="1080" w:hanging="360"/>
      </w:pPr>
    </w:lvl>
  </w:abstractNum>
  <w:abstractNum w:abstractNumId="3">
    <w:nsid w:val="FFFFFF7F"/>
    <w:multiLevelType w:val="singleLevel"/>
    <w:tmpl w:val="46189538"/>
    <w:lvl w:ilvl="0">
      <w:start w:val="1"/>
      <w:numFmt w:val="decimal"/>
      <w:lvlText w:val="%1."/>
      <w:lvlJc w:val="left"/>
      <w:pPr>
        <w:tabs>
          <w:tab w:val="num" w:pos="720"/>
        </w:tabs>
        <w:ind w:left="720" w:hanging="360"/>
      </w:pPr>
    </w:lvl>
  </w:abstractNum>
  <w:abstractNum w:abstractNumId="4">
    <w:nsid w:val="FFFFFF80"/>
    <w:multiLevelType w:val="singleLevel"/>
    <w:tmpl w:val="9BDE1C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98F4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76FE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02CE46"/>
    <w:lvl w:ilvl="0">
      <w:start w:val="1"/>
      <w:numFmt w:val="bullet"/>
      <w:pStyle w:val="ListBullet2"/>
      <w:lvlText w:val="o"/>
      <w:lvlJc w:val="left"/>
      <w:pPr>
        <w:ind w:left="720" w:hanging="360"/>
      </w:pPr>
      <w:rPr>
        <w:rFonts w:ascii="Courier New" w:hAnsi="Courier New" w:cs="Wingdings" w:hint="default"/>
      </w:rPr>
    </w:lvl>
  </w:abstractNum>
  <w:abstractNum w:abstractNumId="8">
    <w:nsid w:val="FFFFFF88"/>
    <w:multiLevelType w:val="singleLevel"/>
    <w:tmpl w:val="D23CCB22"/>
    <w:lvl w:ilvl="0">
      <w:start w:val="1"/>
      <w:numFmt w:val="decimal"/>
      <w:lvlText w:val="%1."/>
      <w:lvlJc w:val="left"/>
      <w:pPr>
        <w:tabs>
          <w:tab w:val="num" w:pos="360"/>
        </w:tabs>
        <w:ind w:left="360" w:hanging="360"/>
      </w:pPr>
    </w:lvl>
  </w:abstractNum>
  <w:abstractNum w:abstractNumId="9">
    <w:nsid w:val="FFFFFF89"/>
    <w:multiLevelType w:val="singleLevel"/>
    <w:tmpl w:val="1276B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6910A8"/>
    <w:multiLevelType w:val="hybridMultilevel"/>
    <w:tmpl w:val="96EE9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3457E2"/>
    <w:multiLevelType w:val="hybridMultilevel"/>
    <w:tmpl w:val="826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E2E04"/>
    <w:multiLevelType w:val="hybridMultilevel"/>
    <w:tmpl w:val="0316B2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155F8D"/>
    <w:multiLevelType w:val="hybridMultilevel"/>
    <w:tmpl w:val="BAC82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BE2DCF"/>
    <w:multiLevelType w:val="hybridMultilevel"/>
    <w:tmpl w:val="2452E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CA0CB9"/>
    <w:multiLevelType w:val="hybridMultilevel"/>
    <w:tmpl w:val="7C949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312FC1"/>
    <w:multiLevelType w:val="hybridMultilevel"/>
    <w:tmpl w:val="850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66316"/>
    <w:multiLevelType w:val="hybridMultilevel"/>
    <w:tmpl w:val="012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B20202"/>
    <w:multiLevelType w:val="hybridMultilevel"/>
    <w:tmpl w:val="D09C704E"/>
    <w:lvl w:ilvl="0" w:tplc="293439E0">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51A27342"/>
    <w:multiLevelType w:val="hybridMultilevel"/>
    <w:tmpl w:val="193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30AFC"/>
    <w:multiLevelType w:val="hybridMultilevel"/>
    <w:tmpl w:val="4F06E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4470A2"/>
    <w:multiLevelType w:val="hybridMultilevel"/>
    <w:tmpl w:val="9FD8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91B7F"/>
    <w:multiLevelType w:val="hybridMultilevel"/>
    <w:tmpl w:val="3B64D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3F2378"/>
    <w:multiLevelType w:val="hybridMultilevel"/>
    <w:tmpl w:val="7B468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7"/>
  </w:num>
  <w:num w:numId="6">
    <w:abstractNumId w:val="22"/>
  </w:num>
  <w:num w:numId="7">
    <w:abstractNumId w:val="15"/>
  </w:num>
  <w:num w:numId="8">
    <w:abstractNumId w:val="20"/>
  </w:num>
  <w:num w:numId="9">
    <w:abstractNumId w:val="23"/>
  </w:num>
  <w:num w:numId="10">
    <w:abstractNumId w:val="11"/>
  </w:num>
  <w:num w:numId="11">
    <w:abstractNumId w:val="19"/>
  </w:num>
  <w:num w:numId="12">
    <w:abstractNumId w:val="16"/>
  </w:num>
  <w:num w:numId="13">
    <w:abstractNumId w:val="12"/>
  </w:num>
  <w:num w:numId="14">
    <w:abstractNumId w:val="21"/>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06"/>
    <w:rsid w:val="00040780"/>
    <w:rsid w:val="000460CB"/>
    <w:rsid w:val="00085941"/>
    <w:rsid w:val="000C65D0"/>
    <w:rsid w:val="00130D4E"/>
    <w:rsid w:val="001422F7"/>
    <w:rsid w:val="00152F06"/>
    <w:rsid w:val="001E4B73"/>
    <w:rsid w:val="001E6C54"/>
    <w:rsid w:val="002240DC"/>
    <w:rsid w:val="00282199"/>
    <w:rsid w:val="002F7516"/>
    <w:rsid w:val="00311C67"/>
    <w:rsid w:val="003A3D81"/>
    <w:rsid w:val="00401F91"/>
    <w:rsid w:val="00460F3A"/>
    <w:rsid w:val="004C37C5"/>
    <w:rsid w:val="005F05C3"/>
    <w:rsid w:val="006348F0"/>
    <w:rsid w:val="006D58CF"/>
    <w:rsid w:val="006F2B8D"/>
    <w:rsid w:val="007B7F28"/>
    <w:rsid w:val="0088568A"/>
    <w:rsid w:val="008F29A3"/>
    <w:rsid w:val="00940E66"/>
    <w:rsid w:val="009976D7"/>
    <w:rsid w:val="00AB6AD7"/>
    <w:rsid w:val="00B56266"/>
    <w:rsid w:val="00B60AC1"/>
    <w:rsid w:val="00BC4EC1"/>
    <w:rsid w:val="00C57E1B"/>
    <w:rsid w:val="00CA1EE4"/>
    <w:rsid w:val="00CA6D7E"/>
    <w:rsid w:val="00CE1E49"/>
    <w:rsid w:val="00D04029"/>
    <w:rsid w:val="00D15681"/>
    <w:rsid w:val="00D71A5E"/>
    <w:rsid w:val="00DC3B07"/>
    <w:rsid w:val="00DE3946"/>
    <w:rsid w:val="00EA1FCD"/>
    <w:rsid w:val="00EE5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58CF"/>
    <w:pPr>
      <w:jc w:val="both"/>
    </w:pPr>
    <w:rPr>
      <w:rFonts w:eastAsia="Cambria"/>
      <w:sz w:val="22"/>
      <w:szCs w:val="24"/>
    </w:rPr>
  </w:style>
  <w:style w:type="paragraph" w:styleId="Heading1">
    <w:name w:val="heading 1"/>
    <w:basedOn w:val="Normal"/>
    <w:next w:val="Normal"/>
    <w:link w:val="Heading1Char"/>
    <w:uiPriority w:val="9"/>
    <w:qFormat/>
    <w:rsid w:val="003E47A3"/>
    <w:pPr>
      <w:keepNext/>
      <w:keepLines/>
      <w:spacing w:before="360" w:after="240"/>
      <w:contextualSpacing/>
      <w:jc w:val="left"/>
      <w:outlineLvl w:val="0"/>
    </w:pPr>
    <w:rPr>
      <w:rFonts w:ascii="Gill Sans MT" w:eastAsia="MS Gothic" w:hAnsi="Gill Sans MT"/>
      <w:b/>
      <w:bCs/>
      <w:color w:val="3090C4"/>
      <w:sz w:val="32"/>
      <w:szCs w:val="32"/>
    </w:rPr>
  </w:style>
  <w:style w:type="paragraph" w:styleId="Heading2">
    <w:name w:val="heading 2"/>
    <w:basedOn w:val="Normal"/>
    <w:next w:val="Normal"/>
    <w:link w:val="Heading2Char"/>
    <w:uiPriority w:val="9"/>
    <w:qFormat/>
    <w:rsid w:val="008A339F"/>
    <w:pPr>
      <w:keepNext/>
      <w:keepLines/>
      <w:spacing w:before="240" w:after="120"/>
      <w:jc w:val="left"/>
      <w:outlineLvl w:val="1"/>
    </w:pPr>
    <w:rPr>
      <w:rFonts w:ascii="Gill Sans MT" w:eastAsia="MS Gothic" w:hAnsi="Gill Sans MT"/>
      <w:b/>
      <w:bCs/>
      <w:sz w:val="28"/>
      <w:szCs w:val="26"/>
    </w:rPr>
  </w:style>
  <w:style w:type="paragraph" w:styleId="Heading3">
    <w:name w:val="heading 3"/>
    <w:basedOn w:val="Normal"/>
    <w:next w:val="Normal"/>
    <w:link w:val="Heading3Char"/>
    <w:uiPriority w:val="9"/>
    <w:qFormat/>
    <w:rsid w:val="00C61F2C"/>
    <w:pPr>
      <w:keepNext/>
      <w:keepLines/>
      <w:spacing w:before="160"/>
      <w:jc w:val="left"/>
      <w:outlineLvl w:val="2"/>
    </w:pPr>
    <w:rPr>
      <w:rFonts w:ascii="Gill Sans MT" w:eastAsia="MS Gothic" w:hAnsi="Gill Sans MT"/>
      <w:b/>
      <w:bCs/>
      <w:sz w:val="24"/>
    </w:rPr>
  </w:style>
  <w:style w:type="paragraph" w:styleId="Heading4">
    <w:name w:val="heading 4"/>
    <w:basedOn w:val="Normal"/>
    <w:next w:val="Normal"/>
    <w:link w:val="Heading4Char"/>
    <w:uiPriority w:val="9"/>
    <w:qFormat/>
    <w:rsid w:val="007C2ADC"/>
    <w:pPr>
      <w:keepNext/>
      <w:keepLines/>
      <w:spacing w:before="200"/>
      <w:outlineLvl w:val="3"/>
    </w:pPr>
    <w:rPr>
      <w:rFonts w:ascii="Cambria" w:eastAsia="MS Gothic"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39F"/>
    <w:rPr>
      <w:rFonts w:ascii="Gill Sans MT" w:eastAsia="MS Gothic" w:hAnsi="Gill Sans MT" w:cs="Times New Roman"/>
      <w:b/>
      <w:bCs/>
      <w:sz w:val="28"/>
      <w:szCs w:val="26"/>
    </w:rPr>
  </w:style>
  <w:style w:type="character" w:customStyle="1" w:styleId="Heading3Char">
    <w:name w:val="Heading 3 Char"/>
    <w:basedOn w:val="DefaultParagraphFont"/>
    <w:link w:val="Heading3"/>
    <w:uiPriority w:val="9"/>
    <w:rsid w:val="00C61F2C"/>
    <w:rPr>
      <w:rFonts w:ascii="Gill Sans MT" w:eastAsia="MS Gothic" w:hAnsi="Gill Sans MT" w:cs="Times New Roman"/>
      <w:b/>
      <w:bCs/>
      <w:sz w:val="24"/>
      <w:szCs w:val="24"/>
    </w:rPr>
  </w:style>
  <w:style w:type="paragraph" w:customStyle="1" w:styleId="MediumGrid1-Accent21">
    <w:name w:val="Medium Grid 1 - Accent 21"/>
    <w:basedOn w:val="Normal"/>
    <w:uiPriority w:val="34"/>
    <w:qFormat/>
    <w:rsid w:val="00152F06"/>
    <w:pPr>
      <w:ind w:left="720"/>
    </w:pPr>
  </w:style>
  <w:style w:type="character" w:styleId="CommentReference">
    <w:name w:val="annotation reference"/>
    <w:uiPriority w:val="99"/>
    <w:semiHidden/>
    <w:unhideWhenUsed/>
    <w:rsid w:val="00152F06"/>
    <w:rPr>
      <w:sz w:val="16"/>
      <w:szCs w:val="16"/>
    </w:rPr>
  </w:style>
  <w:style w:type="paragraph" w:styleId="CommentText">
    <w:name w:val="annotation text"/>
    <w:basedOn w:val="Normal"/>
    <w:link w:val="CommentTextChar"/>
    <w:uiPriority w:val="99"/>
    <w:semiHidden/>
    <w:unhideWhenUsed/>
    <w:rsid w:val="00152F06"/>
    <w:rPr>
      <w:sz w:val="20"/>
      <w:szCs w:val="20"/>
    </w:rPr>
  </w:style>
  <w:style w:type="character" w:customStyle="1" w:styleId="CommentTextChar">
    <w:name w:val="Comment Text Char"/>
    <w:basedOn w:val="DefaultParagraphFont"/>
    <w:link w:val="CommentText"/>
    <w:uiPriority w:val="99"/>
    <w:semiHidden/>
    <w:rsid w:val="00152F06"/>
    <w:rPr>
      <w:rFonts w:ascii="Cambria" w:eastAsia="Cambria" w:hAnsi="Cambria" w:cs="Times New Roman"/>
      <w:sz w:val="20"/>
      <w:szCs w:val="20"/>
    </w:rPr>
  </w:style>
  <w:style w:type="paragraph" w:styleId="FootnoteText">
    <w:name w:val="footnote text"/>
    <w:basedOn w:val="Normal"/>
    <w:link w:val="FootnoteTextChar"/>
    <w:uiPriority w:val="99"/>
    <w:unhideWhenUsed/>
    <w:rsid w:val="00152F06"/>
    <w:rPr>
      <w:sz w:val="18"/>
      <w:lang w:val="x-none" w:eastAsia="x-none"/>
    </w:rPr>
  </w:style>
  <w:style w:type="character" w:customStyle="1" w:styleId="FootnoteTextChar">
    <w:name w:val="Footnote Text Char"/>
    <w:basedOn w:val="DefaultParagraphFont"/>
    <w:link w:val="FootnoteText"/>
    <w:uiPriority w:val="99"/>
    <w:rsid w:val="00152F06"/>
    <w:rPr>
      <w:rFonts w:ascii="Calibri" w:eastAsia="Cambria" w:hAnsi="Calibri" w:cs="Times New Roman"/>
      <w:sz w:val="18"/>
      <w:szCs w:val="24"/>
      <w:lang w:val="x-none" w:eastAsia="x-none"/>
    </w:rPr>
  </w:style>
  <w:style w:type="character" w:styleId="FootnoteReference">
    <w:name w:val="footnote reference"/>
    <w:uiPriority w:val="99"/>
    <w:unhideWhenUsed/>
    <w:rsid w:val="00152F06"/>
    <w:rPr>
      <w:vertAlign w:val="superscript"/>
    </w:rPr>
  </w:style>
  <w:style w:type="paragraph" w:styleId="Caption">
    <w:name w:val="caption"/>
    <w:basedOn w:val="Normal"/>
    <w:next w:val="Normal"/>
    <w:uiPriority w:val="35"/>
    <w:qFormat/>
    <w:rsid w:val="00152F06"/>
    <w:rPr>
      <w:b/>
      <w:bCs/>
      <w:color w:val="000000"/>
      <w:szCs w:val="18"/>
    </w:rPr>
  </w:style>
  <w:style w:type="paragraph" w:styleId="PlainText">
    <w:name w:val="Plain Text"/>
    <w:basedOn w:val="Normal"/>
    <w:link w:val="PlainTextChar"/>
    <w:uiPriority w:val="99"/>
    <w:semiHidden/>
    <w:unhideWhenUsed/>
    <w:rsid w:val="00152F06"/>
    <w:rPr>
      <w:rFonts w:eastAsia="Calibri" w:cs="Consolas"/>
      <w:szCs w:val="21"/>
    </w:rPr>
  </w:style>
  <w:style w:type="character" w:customStyle="1" w:styleId="PlainTextChar">
    <w:name w:val="Plain Text Char"/>
    <w:basedOn w:val="DefaultParagraphFont"/>
    <w:link w:val="PlainText"/>
    <w:uiPriority w:val="99"/>
    <w:semiHidden/>
    <w:rsid w:val="00152F06"/>
    <w:rPr>
      <w:rFonts w:ascii="Calibri" w:hAnsi="Calibri" w:cs="Consolas"/>
      <w:szCs w:val="21"/>
    </w:rPr>
  </w:style>
  <w:style w:type="paragraph" w:styleId="BalloonText">
    <w:name w:val="Balloon Text"/>
    <w:basedOn w:val="Normal"/>
    <w:link w:val="BalloonTextChar"/>
    <w:uiPriority w:val="99"/>
    <w:semiHidden/>
    <w:unhideWhenUsed/>
    <w:rsid w:val="00152F06"/>
    <w:rPr>
      <w:rFonts w:ascii="Tahoma" w:hAnsi="Tahoma" w:cs="Tahoma"/>
      <w:sz w:val="16"/>
      <w:szCs w:val="16"/>
    </w:rPr>
  </w:style>
  <w:style w:type="character" w:customStyle="1" w:styleId="BalloonTextChar">
    <w:name w:val="Balloon Text Char"/>
    <w:basedOn w:val="DefaultParagraphFont"/>
    <w:link w:val="BalloonText"/>
    <w:uiPriority w:val="99"/>
    <w:semiHidden/>
    <w:rsid w:val="00152F06"/>
    <w:rPr>
      <w:rFonts w:ascii="Tahoma" w:eastAsia="Cambria" w:hAnsi="Tahoma" w:cs="Tahoma"/>
      <w:sz w:val="16"/>
      <w:szCs w:val="16"/>
    </w:rPr>
  </w:style>
  <w:style w:type="paragraph" w:styleId="Title">
    <w:name w:val="Title"/>
    <w:basedOn w:val="Normal"/>
    <w:next w:val="Normal"/>
    <w:link w:val="TitleChar"/>
    <w:uiPriority w:val="10"/>
    <w:qFormat/>
    <w:rsid w:val="0043106B"/>
    <w:pPr>
      <w:spacing w:after="240"/>
      <w:jc w:val="left"/>
    </w:pPr>
    <w:rPr>
      <w:rFonts w:ascii="Georgia" w:eastAsia="Calibri" w:hAnsi="Georgia" w:cs="Gill Sans"/>
      <w:i/>
      <w:color w:val="3090C4"/>
      <w:sz w:val="52"/>
      <w:szCs w:val="60"/>
    </w:rPr>
  </w:style>
  <w:style w:type="character" w:customStyle="1" w:styleId="TitleChar">
    <w:name w:val="Title Char"/>
    <w:basedOn w:val="DefaultParagraphFont"/>
    <w:link w:val="Title"/>
    <w:uiPriority w:val="10"/>
    <w:rsid w:val="0043106B"/>
    <w:rPr>
      <w:rFonts w:ascii="Georgia" w:eastAsia="Calibri" w:hAnsi="Georgia" w:cs="Gill Sans"/>
      <w:i/>
      <w:color w:val="3090C4"/>
      <w:sz w:val="52"/>
      <w:szCs w:val="60"/>
    </w:rPr>
  </w:style>
  <w:style w:type="character" w:styleId="Hyperlink">
    <w:name w:val="Hyperlink"/>
    <w:uiPriority w:val="99"/>
    <w:unhideWhenUsed/>
    <w:rsid w:val="000C65D0"/>
    <w:rPr>
      <w:color w:val="auto"/>
      <w:u w:val="none"/>
    </w:rPr>
  </w:style>
  <w:style w:type="paragraph" w:styleId="NormalWeb">
    <w:name w:val="Normal (Web)"/>
    <w:basedOn w:val="Normal"/>
    <w:uiPriority w:val="99"/>
    <w:unhideWhenUsed/>
    <w:rsid w:val="00152F06"/>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3E47A3"/>
    <w:rPr>
      <w:rFonts w:ascii="Gill Sans MT" w:eastAsia="MS Gothic" w:hAnsi="Gill Sans MT" w:cs="Times New Roman"/>
      <w:b/>
      <w:bCs/>
      <w:color w:val="3090C4"/>
      <w:sz w:val="32"/>
      <w:szCs w:val="32"/>
    </w:rPr>
  </w:style>
  <w:style w:type="character" w:customStyle="1" w:styleId="Heading4Char">
    <w:name w:val="Heading 4 Char"/>
    <w:basedOn w:val="DefaultParagraphFont"/>
    <w:link w:val="Heading4"/>
    <w:uiPriority w:val="9"/>
    <w:rsid w:val="007C2ADC"/>
    <w:rPr>
      <w:rFonts w:ascii="Cambria" w:eastAsia="MS Gothic" w:hAnsi="Cambria" w:cs="Times New Roman"/>
      <w:b/>
      <w:bCs/>
      <w:i/>
      <w:iCs/>
      <w:szCs w:val="24"/>
    </w:rPr>
  </w:style>
  <w:style w:type="character" w:styleId="EndnoteReference">
    <w:name w:val="endnote reference"/>
    <w:uiPriority w:val="99"/>
    <w:unhideWhenUsed/>
    <w:rsid w:val="005254A4"/>
    <w:rPr>
      <w:rFonts w:ascii="Georgia" w:hAnsi="Georgia"/>
      <w:sz w:val="22"/>
      <w:vertAlign w:val="superscript"/>
    </w:rPr>
  </w:style>
  <w:style w:type="character" w:styleId="Emphasis">
    <w:name w:val="Emphasis"/>
    <w:uiPriority w:val="20"/>
    <w:qFormat/>
    <w:rsid w:val="00152F06"/>
    <w:rPr>
      <w:i/>
      <w:iCs/>
    </w:rPr>
  </w:style>
  <w:style w:type="paragraph" w:customStyle="1" w:styleId="Default">
    <w:name w:val="Default"/>
    <w:rsid w:val="00152F06"/>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iPriority w:val="99"/>
    <w:unhideWhenUsed/>
    <w:rsid w:val="00C709FF"/>
    <w:pPr>
      <w:tabs>
        <w:tab w:val="center" w:pos="4680"/>
        <w:tab w:val="right" w:pos="9360"/>
      </w:tabs>
    </w:pPr>
  </w:style>
  <w:style w:type="character" w:customStyle="1" w:styleId="HeaderChar">
    <w:name w:val="Header Char"/>
    <w:basedOn w:val="DefaultParagraphFont"/>
    <w:link w:val="Header"/>
    <w:uiPriority w:val="99"/>
    <w:rsid w:val="00C709FF"/>
    <w:rPr>
      <w:rFonts w:ascii="Cambria" w:eastAsia="Cambria" w:hAnsi="Cambria" w:cs="Times New Roman"/>
      <w:sz w:val="24"/>
      <w:szCs w:val="24"/>
    </w:rPr>
  </w:style>
  <w:style w:type="paragraph" w:styleId="Footer">
    <w:name w:val="footer"/>
    <w:basedOn w:val="Normal"/>
    <w:link w:val="FooterChar"/>
    <w:uiPriority w:val="99"/>
    <w:unhideWhenUsed/>
    <w:rsid w:val="007B2567"/>
    <w:pPr>
      <w:tabs>
        <w:tab w:val="center" w:pos="4680"/>
        <w:tab w:val="right" w:pos="9360"/>
      </w:tabs>
      <w:jc w:val="left"/>
    </w:pPr>
    <w:rPr>
      <w:rFonts w:ascii="Gill Sans MT" w:eastAsia="Times New Roman" w:hAnsi="Gill Sans MT"/>
      <w:sz w:val="16"/>
    </w:rPr>
  </w:style>
  <w:style w:type="character" w:customStyle="1" w:styleId="FooterChar">
    <w:name w:val="Footer Char"/>
    <w:basedOn w:val="DefaultParagraphFont"/>
    <w:link w:val="Footer"/>
    <w:uiPriority w:val="99"/>
    <w:rsid w:val="007B2567"/>
    <w:rPr>
      <w:rFonts w:ascii="Gill Sans MT" w:eastAsia="Times New Roman" w:hAnsi="Gill Sans MT" w:cs="Times New Roman"/>
      <w:sz w:val="16"/>
      <w:szCs w:val="24"/>
    </w:rPr>
  </w:style>
  <w:style w:type="paragraph" w:styleId="CommentSubject">
    <w:name w:val="annotation subject"/>
    <w:basedOn w:val="CommentText"/>
    <w:next w:val="CommentText"/>
    <w:link w:val="CommentSubjectChar"/>
    <w:uiPriority w:val="99"/>
    <w:semiHidden/>
    <w:unhideWhenUsed/>
    <w:rsid w:val="00C74733"/>
    <w:rPr>
      <w:b/>
      <w:bCs/>
    </w:rPr>
  </w:style>
  <w:style w:type="character" w:customStyle="1" w:styleId="CommentSubjectChar">
    <w:name w:val="Comment Subject Char"/>
    <w:basedOn w:val="CommentTextChar"/>
    <w:link w:val="CommentSubject"/>
    <w:uiPriority w:val="99"/>
    <w:semiHidden/>
    <w:rsid w:val="00C74733"/>
    <w:rPr>
      <w:rFonts w:ascii="Cambria" w:eastAsia="Cambria" w:hAnsi="Cambria" w:cs="Times New Roman"/>
      <w:b/>
      <w:bCs/>
      <w:sz w:val="20"/>
      <w:szCs w:val="20"/>
    </w:rPr>
  </w:style>
  <w:style w:type="paragraph" w:customStyle="1" w:styleId="ColorfulShading-Accent11">
    <w:name w:val="Colorful Shading - Accent 11"/>
    <w:hidden/>
    <w:uiPriority w:val="99"/>
    <w:semiHidden/>
    <w:rsid w:val="004D3BC6"/>
    <w:rPr>
      <w:rFonts w:ascii="Cambria" w:eastAsia="Cambria" w:hAnsi="Cambria"/>
      <w:sz w:val="24"/>
      <w:szCs w:val="24"/>
    </w:rPr>
  </w:style>
  <w:style w:type="character" w:styleId="FollowedHyperlink">
    <w:name w:val="FollowedHyperlink"/>
    <w:basedOn w:val="DefaultParagraphFont"/>
    <w:uiPriority w:val="99"/>
    <w:semiHidden/>
    <w:unhideWhenUsed/>
    <w:rsid w:val="00FA16DA"/>
    <w:rPr>
      <w:color w:val="800080"/>
      <w:u w:val="single"/>
    </w:rPr>
  </w:style>
  <w:style w:type="paragraph" w:customStyle="1" w:styleId="ColorfulList-Accent11">
    <w:name w:val="Colorful List - Accent 11"/>
    <w:basedOn w:val="Normal"/>
    <w:uiPriority w:val="34"/>
    <w:qFormat/>
    <w:rsid w:val="0051237E"/>
    <w:pPr>
      <w:spacing w:line="276" w:lineRule="auto"/>
      <w:ind w:left="720"/>
      <w:contextualSpacing/>
    </w:pPr>
    <w:rPr>
      <w:rFonts w:eastAsia="Calibri"/>
      <w:szCs w:val="22"/>
    </w:rPr>
  </w:style>
  <w:style w:type="paragraph" w:styleId="EndnoteText">
    <w:name w:val="endnote text"/>
    <w:basedOn w:val="Normal"/>
    <w:link w:val="EndnoteTextChar"/>
    <w:uiPriority w:val="99"/>
    <w:rsid w:val="00F73374"/>
    <w:pPr>
      <w:spacing w:after="120"/>
      <w:jc w:val="left"/>
    </w:pPr>
    <w:rPr>
      <w:rFonts w:ascii="Georgia" w:eastAsia="Calibri" w:hAnsi="Georgia"/>
      <w:sz w:val="18"/>
      <w:szCs w:val="20"/>
    </w:rPr>
  </w:style>
  <w:style w:type="character" w:customStyle="1" w:styleId="EndnoteTextChar">
    <w:name w:val="Endnote Text Char"/>
    <w:basedOn w:val="DefaultParagraphFont"/>
    <w:link w:val="EndnoteText"/>
    <w:uiPriority w:val="99"/>
    <w:rsid w:val="00F73374"/>
    <w:rPr>
      <w:rFonts w:ascii="Georgia" w:hAnsi="Georgia"/>
      <w:sz w:val="18"/>
      <w:szCs w:val="20"/>
    </w:rPr>
  </w:style>
  <w:style w:type="paragraph" w:customStyle="1" w:styleId="ColorfulList-Accent111">
    <w:name w:val="Colorful List - Accent 111"/>
    <w:basedOn w:val="Normal"/>
    <w:uiPriority w:val="34"/>
    <w:qFormat/>
    <w:rsid w:val="00470417"/>
    <w:pPr>
      <w:spacing w:after="200"/>
      <w:ind w:left="720"/>
      <w:jc w:val="left"/>
    </w:pPr>
    <w:rPr>
      <w:rFonts w:ascii="Cambria" w:hAnsi="Cambria"/>
      <w:sz w:val="24"/>
    </w:rPr>
  </w:style>
  <w:style w:type="paragraph" w:customStyle="1" w:styleId="MediumGrid21">
    <w:name w:val="Medium Grid 21"/>
    <w:uiPriority w:val="1"/>
    <w:qFormat/>
    <w:rsid w:val="00C30769"/>
    <w:pPr>
      <w:jc w:val="both"/>
    </w:pPr>
    <w:rPr>
      <w:rFonts w:eastAsia="Cambria"/>
      <w:sz w:val="22"/>
      <w:szCs w:val="24"/>
    </w:rPr>
  </w:style>
  <w:style w:type="paragraph" w:styleId="BlockText">
    <w:name w:val="Block Text"/>
    <w:basedOn w:val="Normal"/>
    <w:uiPriority w:val="99"/>
    <w:semiHidden/>
    <w:unhideWhenUsed/>
    <w:rsid w:val="0075722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MS Mincho"/>
      <w:i/>
      <w:iCs/>
      <w:color w:val="4F81BD"/>
    </w:rPr>
  </w:style>
  <w:style w:type="paragraph" w:styleId="Subtitle">
    <w:name w:val="Subtitle"/>
    <w:basedOn w:val="MediumGrid21"/>
    <w:next w:val="MediumGrid21"/>
    <w:link w:val="SubtitleChar"/>
    <w:uiPriority w:val="11"/>
    <w:qFormat/>
    <w:rsid w:val="007F75A0"/>
    <w:pPr>
      <w:numPr>
        <w:ilvl w:val="1"/>
      </w:numPr>
    </w:pPr>
    <w:rPr>
      <w:rFonts w:eastAsia="MS Gothic"/>
      <w:iCs/>
      <w:u w:val="single"/>
    </w:rPr>
  </w:style>
  <w:style w:type="character" w:customStyle="1" w:styleId="SubtitleChar">
    <w:name w:val="Subtitle Char"/>
    <w:basedOn w:val="DefaultParagraphFont"/>
    <w:link w:val="Subtitle"/>
    <w:uiPriority w:val="11"/>
    <w:rsid w:val="007F75A0"/>
    <w:rPr>
      <w:rFonts w:eastAsia="MS Gothic" w:cs="Times New Roman"/>
      <w:iCs/>
      <w:szCs w:val="24"/>
      <w:u w:val="single"/>
    </w:rPr>
  </w:style>
  <w:style w:type="character" w:customStyle="1" w:styleId="SubtleEmphasis1">
    <w:name w:val="Subtle Emphasis1"/>
    <w:basedOn w:val="DefaultParagraphFont"/>
    <w:uiPriority w:val="19"/>
    <w:qFormat/>
    <w:rsid w:val="007F75A0"/>
    <w:rPr>
      <w:rFonts w:ascii="Calibri" w:hAnsi="Calibri"/>
      <w:i/>
      <w:iCs/>
      <w:color w:val="auto"/>
      <w:sz w:val="22"/>
    </w:rPr>
  </w:style>
  <w:style w:type="paragraph" w:styleId="BodyText">
    <w:name w:val="Body Text"/>
    <w:basedOn w:val="Normal"/>
    <w:link w:val="BodyTextChar"/>
    <w:uiPriority w:val="99"/>
    <w:unhideWhenUsed/>
    <w:rsid w:val="008A339F"/>
    <w:pPr>
      <w:spacing w:after="120"/>
      <w:jc w:val="left"/>
    </w:pPr>
    <w:rPr>
      <w:rFonts w:ascii="Georgia" w:eastAsia="MS Mincho" w:hAnsi="Georgia"/>
    </w:rPr>
  </w:style>
  <w:style w:type="character" w:customStyle="1" w:styleId="BodyTextChar">
    <w:name w:val="Body Text Char"/>
    <w:basedOn w:val="DefaultParagraphFont"/>
    <w:link w:val="BodyText"/>
    <w:uiPriority w:val="99"/>
    <w:rsid w:val="008A339F"/>
    <w:rPr>
      <w:rFonts w:ascii="Georgia" w:eastAsia="MS Mincho" w:hAnsi="Georgia"/>
      <w:szCs w:val="24"/>
    </w:rPr>
  </w:style>
  <w:style w:type="paragraph" w:styleId="BodyTextFirstIndent">
    <w:name w:val="Body Text First Indent"/>
    <w:basedOn w:val="Normal"/>
    <w:link w:val="BodyTextFirstIndentChar"/>
    <w:uiPriority w:val="99"/>
    <w:unhideWhenUsed/>
    <w:rsid w:val="008A339F"/>
    <w:pPr>
      <w:spacing w:after="120"/>
      <w:ind w:firstLine="360"/>
      <w:jc w:val="left"/>
    </w:pPr>
    <w:rPr>
      <w:rFonts w:ascii="Georgia" w:eastAsia="MS Mincho" w:hAnsi="Georgia"/>
    </w:rPr>
  </w:style>
  <w:style w:type="character" w:customStyle="1" w:styleId="BodyTextFirstIndentChar">
    <w:name w:val="Body Text First Indent Char"/>
    <w:basedOn w:val="BodyTextChar"/>
    <w:link w:val="BodyTextFirstIndent"/>
    <w:uiPriority w:val="99"/>
    <w:rsid w:val="008A339F"/>
    <w:rPr>
      <w:rFonts w:ascii="Georgia" w:eastAsia="MS Mincho" w:hAnsi="Georgia"/>
      <w:szCs w:val="24"/>
    </w:rPr>
  </w:style>
  <w:style w:type="paragraph" w:customStyle="1" w:styleId="FigureandTableTitle">
    <w:name w:val="Figure and Table Title"/>
    <w:basedOn w:val="BodyText"/>
    <w:qFormat/>
    <w:rsid w:val="00E213A1"/>
    <w:pPr>
      <w:keepNext/>
      <w:spacing w:before="360"/>
    </w:pPr>
    <w:rPr>
      <w:rFonts w:ascii="Gill Sans MT" w:hAnsi="Gill Sans MT"/>
      <w:b/>
      <w:noProof/>
    </w:rPr>
  </w:style>
  <w:style w:type="paragraph" w:customStyle="1" w:styleId="FigureandTableNotes">
    <w:name w:val="Figure and Table Notes"/>
    <w:basedOn w:val="FigureandTableTitle"/>
    <w:qFormat/>
    <w:rsid w:val="008A339F"/>
    <w:pPr>
      <w:keepNext w:val="0"/>
      <w:spacing w:before="0" w:after="240"/>
      <w:contextualSpacing/>
    </w:pPr>
    <w:rPr>
      <w:rFonts w:eastAsia="Times New Roman"/>
      <w:b w:val="0"/>
      <w:bCs/>
      <w:noProof w:val="0"/>
      <w:sz w:val="18"/>
      <w:szCs w:val="20"/>
    </w:rPr>
  </w:style>
  <w:style w:type="paragraph" w:styleId="ListNumber">
    <w:name w:val="List Number"/>
    <w:basedOn w:val="Normal"/>
    <w:uiPriority w:val="99"/>
    <w:unhideWhenUsed/>
    <w:rsid w:val="00876BBF"/>
    <w:pPr>
      <w:numPr>
        <w:numId w:val="1"/>
      </w:numPr>
      <w:spacing w:after="240"/>
      <w:contextualSpacing/>
      <w:jc w:val="left"/>
    </w:pPr>
    <w:rPr>
      <w:rFonts w:ascii="Georgia" w:eastAsia="Calibri" w:hAnsi="Georgia"/>
      <w:szCs w:val="22"/>
    </w:rPr>
  </w:style>
  <w:style w:type="paragraph" w:customStyle="1" w:styleId="Reference">
    <w:name w:val="Reference"/>
    <w:basedOn w:val="Normal"/>
    <w:qFormat/>
    <w:rsid w:val="00871A20"/>
    <w:pPr>
      <w:spacing w:after="120"/>
      <w:ind w:left="360" w:hanging="360"/>
      <w:jc w:val="left"/>
    </w:pPr>
    <w:rPr>
      <w:rFonts w:ascii="Georgia" w:eastAsia="MS Mincho" w:hAnsi="Georgia"/>
      <w:sz w:val="20"/>
      <w:szCs w:val="16"/>
    </w:rPr>
  </w:style>
  <w:style w:type="paragraph" w:styleId="ListBullet">
    <w:name w:val="List Bullet"/>
    <w:basedOn w:val="Normal"/>
    <w:uiPriority w:val="99"/>
    <w:unhideWhenUsed/>
    <w:rsid w:val="00624B0A"/>
    <w:pPr>
      <w:numPr>
        <w:numId w:val="16"/>
      </w:numPr>
      <w:contextualSpacing/>
      <w:jc w:val="left"/>
    </w:pPr>
    <w:rPr>
      <w:rFonts w:ascii="Georgia" w:hAnsi="Georgia"/>
    </w:rPr>
  </w:style>
  <w:style w:type="paragraph" w:customStyle="1" w:styleId="Boxtext">
    <w:name w:val="Box text"/>
    <w:basedOn w:val="Normal"/>
    <w:qFormat/>
    <w:rsid w:val="00F14828"/>
    <w:pPr>
      <w:spacing w:after="120"/>
      <w:jc w:val="left"/>
    </w:pPr>
    <w:rPr>
      <w:rFonts w:ascii="Gill Sans MT" w:hAnsi="Gill Sans MT"/>
      <w:sz w:val="20"/>
    </w:rPr>
  </w:style>
  <w:style w:type="paragraph" w:styleId="ListBullet2">
    <w:name w:val="List Bullet 2"/>
    <w:basedOn w:val="ListBullet"/>
    <w:uiPriority w:val="99"/>
    <w:unhideWhenUsed/>
    <w:rsid w:val="00F14828"/>
    <w:pPr>
      <w:numPr>
        <w:numId w:val="17"/>
      </w:numPr>
      <w:spacing w:after="240"/>
    </w:pPr>
  </w:style>
  <w:style w:type="table" w:styleId="TableGrid">
    <w:name w:val="Table Grid"/>
    <w:basedOn w:val="TableNormal"/>
    <w:uiPriority w:val="59"/>
    <w:rsid w:val="006A6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
    <w:name w:val="Table cell"/>
    <w:basedOn w:val="FigureandTableTitle"/>
    <w:qFormat/>
    <w:rsid w:val="006A6F46"/>
    <w:pPr>
      <w:keepNext w:val="0"/>
      <w:widowControl w:val="0"/>
      <w:spacing w:before="0" w:after="0"/>
    </w:pPr>
    <w:rPr>
      <w:b w:val="0"/>
      <w:sz w:val="20"/>
    </w:rPr>
  </w:style>
  <w:style w:type="paragraph" w:customStyle="1" w:styleId="Tablecolumnheading">
    <w:name w:val="Table column heading"/>
    <w:basedOn w:val="Tablecell"/>
    <w:qFormat/>
    <w:rsid w:val="006A6F46"/>
    <w:pPr>
      <w:spacing w:before="60"/>
      <w:jc w:val="center"/>
    </w:pPr>
    <w:rPr>
      <w:b/>
    </w:rPr>
  </w:style>
  <w:style w:type="table" w:styleId="MediumGrid3">
    <w:name w:val="Medium Grid 3"/>
    <w:basedOn w:val="TableNormal"/>
    <w:uiPriority w:val="60"/>
    <w:rsid w:val="000E195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2">
    <w:name w:val="toc 2"/>
    <w:basedOn w:val="Normal"/>
    <w:next w:val="Normal"/>
    <w:autoRedefine/>
    <w:uiPriority w:val="39"/>
    <w:unhideWhenUsed/>
    <w:rsid w:val="0043106B"/>
    <w:pPr>
      <w:tabs>
        <w:tab w:val="right" w:pos="9350"/>
      </w:tabs>
      <w:ind w:left="220"/>
    </w:pPr>
    <w:rPr>
      <w:rFonts w:ascii="Georgia" w:hAnsi="Georgia"/>
    </w:rPr>
  </w:style>
  <w:style w:type="paragraph" w:styleId="TOC1">
    <w:name w:val="toc 1"/>
    <w:basedOn w:val="Normal"/>
    <w:next w:val="Normal"/>
    <w:autoRedefine/>
    <w:uiPriority w:val="39"/>
    <w:unhideWhenUsed/>
    <w:rsid w:val="00D15681"/>
    <w:pPr>
      <w:tabs>
        <w:tab w:val="right" w:pos="9360"/>
      </w:tabs>
      <w:spacing w:before="120"/>
    </w:pPr>
    <w:rPr>
      <w:rFonts w:ascii="Georgia" w:hAnsi="Georgia"/>
    </w:rPr>
  </w:style>
  <w:style w:type="paragraph" w:styleId="TOC3">
    <w:name w:val="toc 3"/>
    <w:basedOn w:val="Normal"/>
    <w:next w:val="Normal"/>
    <w:autoRedefine/>
    <w:uiPriority w:val="39"/>
    <w:unhideWhenUsed/>
    <w:rsid w:val="00AB3898"/>
    <w:pPr>
      <w:ind w:left="440"/>
    </w:pPr>
  </w:style>
  <w:style w:type="paragraph" w:styleId="TOC4">
    <w:name w:val="toc 4"/>
    <w:basedOn w:val="Normal"/>
    <w:next w:val="Normal"/>
    <w:autoRedefine/>
    <w:uiPriority w:val="39"/>
    <w:unhideWhenUsed/>
    <w:rsid w:val="00AB3898"/>
    <w:pPr>
      <w:ind w:left="660"/>
    </w:pPr>
  </w:style>
  <w:style w:type="paragraph" w:styleId="TOC5">
    <w:name w:val="toc 5"/>
    <w:basedOn w:val="Normal"/>
    <w:next w:val="Normal"/>
    <w:autoRedefine/>
    <w:uiPriority w:val="39"/>
    <w:unhideWhenUsed/>
    <w:rsid w:val="00AB3898"/>
    <w:pPr>
      <w:ind w:left="880"/>
    </w:pPr>
  </w:style>
  <w:style w:type="paragraph" w:styleId="TOC6">
    <w:name w:val="toc 6"/>
    <w:basedOn w:val="Normal"/>
    <w:next w:val="Normal"/>
    <w:autoRedefine/>
    <w:uiPriority w:val="39"/>
    <w:unhideWhenUsed/>
    <w:rsid w:val="00AB3898"/>
    <w:pPr>
      <w:ind w:left="1100"/>
    </w:pPr>
  </w:style>
  <w:style w:type="paragraph" w:styleId="TOC7">
    <w:name w:val="toc 7"/>
    <w:basedOn w:val="Normal"/>
    <w:next w:val="Normal"/>
    <w:autoRedefine/>
    <w:uiPriority w:val="39"/>
    <w:unhideWhenUsed/>
    <w:rsid w:val="00AB3898"/>
    <w:pPr>
      <w:ind w:left="1320"/>
    </w:pPr>
  </w:style>
  <w:style w:type="paragraph" w:styleId="TOC8">
    <w:name w:val="toc 8"/>
    <w:basedOn w:val="Normal"/>
    <w:next w:val="Normal"/>
    <w:autoRedefine/>
    <w:uiPriority w:val="39"/>
    <w:unhideWhenUsed/>
    <w:rsid w:val="00AB3898"/>
    <w:pPr>
      <w:ind w:left="1540"/>
    </w:pPr>
  </w:style>
  <w:style w:type="paragraph" w:styleId="TOC9">
    <w:name w:val="toc 9"/>
    <w:basedOn w:val="Normal"/>
    <w:next w:val="Normal"/>
    <w:autoRedefine/>
    <w:uiPriority w:val="39"/>
    <w:unhideWhenUsed/>
    <w:rsid w:val="00AB3898"/>
    <w:pPr>
      <w:ind w:left="1760"/>
    </w:pPr>
  </w:style>
  <w:style w:type="paragraph" w:customStyle="1" w:styleId="Authors">
    <w:name w:val="Authors"/>
    <w:basedOn w:val="Covertext"/>
    <w:qFormat/>
    <w:rsid w:val="0043106B"/>
    <w:rPr>
      <w:color w:val="7F7F7F"/>
    </w:rPr>
  </w:style>
  <w:style w:type="paragraph" w:customStyle="1" w:styleId="Covertext">
    <w:name w:val="Cover text"/>
    <w:qFormat/>
    <w:rsid w:val="0043106B"/>
    <w:rPr>
      <w:rFonts w:ascii="Gill Sans" w:eastAsia="Times New Roman" w:hAnsi="Gill Sans" w:cs="Gill Sans"/>
      <w:smallCaps/>
      <w:color w:val="FFFFFF"/>
      <w:sz w:val="22"/>
      <w:szCs w:val="24"/>
    </w:rPr>
  </w:style>
  <w:style w:type="paragraph" w:customStyle="1" w:styleId="Boilerplate">
    <w:name w:val="Boilerplate"/>
    <w:basedOn w:val="BodyText"/>
    <w:qFormat/>
    <w:rsid w:val="006D58C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58CF"/>
    <w:pPr>
      <w:jc w:val="both"/>
    </w:pPr>
    <w:rPr>
      <w:rFonts w:eastAsia="Cambria"/>
      <w:sz w:val="22"/>
      <w:szCs w:val="24"/>
    </w:rPr>
  </w:style>
  <w:style w:type="paragraph" w:styleId="Heading1">
    <w:name w:val="heading 1"/>
    <w:basedOn w:val="Normal"/>
    <w:next w:val="Normal"/>
    <w:link w:val="Heading1Char"/>
    <w:uiPriority w:val="9"/>
    <w:qFormat/>
    <w:rsid w:val="003E47A3"/>
    <w:pPr>
      <w:keepNext/>
      <w:keepLines/>
      <w:spacing w:before="360" w:after="240"/>
      <w:contextualSpacing/>
      <w:jc w:val="left"/>
      <w:outlineLvl w:val="0"/>
    </w:pPr>
    <w:rPr>
      <w:rFonts w:ascii="Gill Sans MT" w:eastAsia="MS Gothic" w:hAnsi="Gill Sans MT"/>
      <w:b/>
      <w:bCs/>
      <w:color w:val="3090C4"/>
      <w:sz w:val="32"/>
      <w:szCs w:val="32"/>
    </w:rPr>
  </w:style>
  <w:style w:type="paragraph" w:styleId="Heading2">
    <w:name w:val="heading 2"/>
    <w:basedOn w:val="Normal"/>
    <w:next w:val="Normal"/>
    <w:link w:val="Heading2Char"/>
    <w:uiPriority w:val="9"/>
    <w:qFormat/>
    <w:rsid w:val="008A339F"/>
    <w:pPr>
      <w:keepNext/>
      <w:keepLines/>
      <w:spacing w:before="240" w:after="120"/>
      <w:jc w:val="left"/>
      <w:outlineLvl w:val="1"/>
    </w:pPr>
    <w:rPr>
      <w:rFonts w:ascii="Gill Sans MT" w:eastAsia="MS Gothic" w:hAnsi="Gill Sans MT"/>
      <w:b/>
      <w:bCs/>
      <w:sz w:val="28"/>
      <w:szCs w:val="26"/>
    </w:rPr>
  </w:style>
  <w:style w:type="paragraph" w:styleId="Heading3">
    <w:name w:val="heading 3"/>
    <w:basedOn w:val="Normal"/>
    <w:next w:val="Normal"/>
    <w:link w:val="Heading3Char"/>
    <w:uiPriority w:val="9"/>
    <w:qFormat/>
    <w:rsid w:val="00C61F2C"/>
    <w:pPr>
      <w:keepNext/>
      <w:keepLines/>
      <w:spacing w:before="160"/>
      <w:jc w:val="left"/>
      <w:outlineLvl w:val="2"/>
    </w:pPr>
    <w:rPr>
      <w:rFonts w:ascii="Gill Sans MT" w:eastAsia="MS Gothic" w:hAnsi="Gill Sans MT"/>
      <w:b/>
      <w:bCs/>
      <w:sz w:val="24"/>
    </w:rPr>
  </w:style>
  <w:style w:type="paragraph" w:styleId="Heading4">
    <w:name w:val="heading 4"/>
    <w:basedOn w:val="Normal"/>
    <w:next w:val="Normal"/>
    <w:link w:val="Heading4Char"/>
    <w:uiPriority w:val="9"/>
    <w:qFormat/>
    <w:rsid w:val="007C2ADC"/>
    <w:pPr>
      <w:keepNext/>
      <w:keepLines/>
      <w:spacing w:before="200"/>
      <w:outlineLvl w:val="3"/>
    </w:pPr>
    <w:rPr>
      <w:rFonts w:ascii="Cambria" w:eastAsia="MS Gothic"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39F"/>
    <w:rPr>
      <w:rFonts w:ascii="Gill Sans MT" w:eastAsia="MS Gothic" w:hAnsi="Gill Sans MT" w:cs="Times New Roman"/>
      <w:b/>
      <w:bCs/>
      <w:sz w:val="28"/>
      <w:szCs w:val="26"/>
    </w:rPr>
  </w:style>
  <w:style w:type="character" w:customStyle="1" w:styleId="Heading3Char">
    <w:name w:val="Heading 3 Char"/>
    <w:basedOn w:val="DefaultParagraphFont"/>
    <w:link w:val="Heading3"/>
    <w:uiPriority w:val="9"/>
    <w:rsid w:val="00C61F2C"/>
    <w:rPr>
      <w:rFonts w:ascii="Gill Sans MT" w:eastAsia="MS Gothic" w:hAnsi="Gill Sans MT" w:cs="Times New Roman"/>
      <w:b/>
      <w:bCs/>
      <w:sz w:val="24"/>
      <w:szCs w:val="24"/>
    </w:rPr>
  </w:style>
  <w:style w:type="paragraph" w:customStyle="1" w:styleId="MediumGrid1-Accent21">
    <w:name w:val="Medium Grid 1 - Accent 21"/>
    <w:basedOn w:val="Normal"/>
    <w:uiPriority w:val="34"/>
    <w:qFormat/>
    <w:rsid w:val="00152F06"/>
    <w:pPr>
      <w:ind w:left="720"/>
    </w:pPr>
  </w:style>
  <w:style w:type="character" w:styleId="CommentReference">
    <w:name w:val="annotation reference"/>
    <w:uiPriority w:val="99"/>
    <w:semiHidden/>
    <w:unhideWhenUsed/>
    <w:rsid w:val="00152F06"/>
    <w:rPr>
      <w:sz w:val="16"/>
      <w:szCs w:val="16"/>
    </w:rPr>
  </w:style>
  <w:style w:type="paragraph" w:styleId="CommentText">
    <w:name w:val="annotation text"/>
    <w:basedOn w:val="Normal"/>
    <w:link w:val="CommentTextChar"/>
    <w:uiPriority w:val="99"/>
    <w:semiHidden/>
    <w:unhideWhenUsed/>
    <w:rsid w:val="00152F06"/>
    <w:rPr>
      <w:sz w:val="20"/>
      <w:szCs w:val="20"/>
    </w:rPr>
  </w:style>
  <w:style w:type="character" w:customStyle="1" w:styleId="CommentTextChar">
    <w:name w:val="Comment Text Char"/>
    <w:basedOn w:val="DefaultParagraphFont"/>
    <w:link w:val="CommentText"/>
    <w:uiPriority w:val="99"/>
    <w:semiHidden/>
    <w:rsid w:val="00152F06"/>
    <w:rPr>
      <w:rFonts w:ascii="Cambria" w:eastAsia="Cambria" w:hAnsi="Cambria" w:cs="Times New Roman"/>
      <w:sz w:val="20"/>
      <w:szCs w:val="20"/>
    </w:rPr>
  </w:style>
  <w:style w:type="paragraph" w:styleId="FootnoteText">
    <w:name w:val="footnote text"/>
    <w:basedOn w:val="Normal"/>
    <w:link w:val="FootnoteTextChar"/>
    <w:uiPriority w:val="99"/>
    <w:unhideWhenUsed/>
    <w:rsid w:val="00152F06"/>
    <w:rPr>
      <w:sz w:val="18"/>
      <w:lang w:val="x-none" w:eastAsia="x-none"/>
    </w:rPr>
  </w:style>
  <w:style w:type="character" w:customStyle="1" w:styleId="FootnoteTextChar">
    <w:name w:val="Footnote Text Char"/>
    <w:basedOn w:val="DefaultParagraphFont"/>
    <w:link w:val="FootnoteText"/>
    <w:uiPriority w:val="99"/>
    <w:rsid w:val="00152F06"/>
    <w:rPr>
      <w:rFonts w:ascii="Calibri" w:eastAsia="Cambria" w:hAnsi="Calibri" w:cs="Times New Roman"/>
      <w:sz w:val="18"/>
      <w:szCs w:val="24"/>
      <w:lang w:val="x-none" w:eastAsia="x-none"/>
    </w:rPr>
  </w:style>
  <w:style w:type="character" w:styleId="FootnoteReference">
    <w:name w:val="footnote reference"/>
    <w:uiPriority w:val="99"/>
    <w:unhideWhenUsed/>
    <w:rsid w:val="00152F06"/>
    <w:rPr>
      <w:vertAlign w:val="superscript"/>
    </w:rPr>
  </w:style>
  <w:style w:type="paragraph" w:styleId="Caption">
    <w:name w:val="caption"/>
    <w:basedOn w:val="Normal"/>
    <w:next w:val="Normal"/>
    <w:uiPriority w:val="35"/>
    <w:qFormat/>
    <w:rsid w:val="00152F06"/>
    <w:rPr>
      <w:b/>
      <w:bCs/>
      <w:color w:val="000000"/>
      <w:szCs w:val="18"/>
    </w:rPr>
  </w:style>
  <w:style w:type="paragraph" w:styleId="PlainText">
    <w:name w:val="Plain Text"/>
    <w:basedOn w:val="Normal"/>
    <w:link w:val="PlainTextChar"/>
    <w:uiPriority w:val="99"/>
    <w:semiHidden/>
    <w:unhideWhenUsed/>
    <w:rsid w:val="00152F06"/>
    <w:rPr>
      <w:rFonts w:eastAsia="Calibri" w:cs="Consolas"/>
      <w:szCs w:val="21"/>
    </w:rPr>
  </w:style>
  <w:style w:type="character" w:customStyle="1" w:styleId="PlainTextChar">
    <w:name w:val="Plain Text Char"/>
    <w:basedOn w:val="DefaultParagraphFont"/>
    <w:link w:val="PlainText"/>
    <w:uiPriority w:val="99"/>
    <w:semiHidden/>
    <w:rsid w:val="00152F06"/>
    <w:rPr>
      <w:rFonts w:ascii="Calibri" w:hAnsi="Calibri" w:cs="Consolas"/>
      <w:szCs w:val="21"/>
    </w:rPr>
  </w:style>
  <w:style w:type="paragraph" w:styleId="BalloonText">
    <w:name w:val="Balloon Text"/>
    <w:basedOn w:val="Normal"/>
    <w:link w:val="BalloonTextChar"/>
    <w:uiPriority w:val="99"/>
    <w:semiHidden/>
    <w:unhideWhenUsed/>
    <w:rsid w:val="00152F06"/>
    <w:rPr>
      <w:rFonts w:ascii="Tahoma" w:hAnsi="Tahoma" w:cs="Tahoma"/>
      <w:sz w:val="16"/>
      <w:szCs w:val="16"/>
    </w:rPr>
  </w:style>
  <w:style w:type="character" w:customStyle="1" w:styleId="BalloonTextChar">
    <w:name w:val="Balloon Text Char"/>
    <w:basedOn w:val="DefaultParagraphFont"/>
    <w:link w:val="BalloonText"/>
    <w:uiPriority w:val="99"/>
    <w:semiHidden/>
    <w:rsid w:val="00152F06"/>
    <w:rPr>
      <w:rFonts w:ascii="Tahoma" w:eastAsia="Cambria" w:hAnsi="Tahoma" w:cs="Tahoma"/>
      <w:sz w:val="16"/>
      <w:szCs w:val="16"/>
    </w:rPr>
  </w:style>
  <w:style w:type="paragraph" w:styleId="Title">
    <w:name w:val="Title"/>
    <w:basedOn w:val="Normal"/>
    <w:next w:val="Normal"/>
    <w:link w:val="TitleChar"/>
    <w:uiPriority w:val="10"/>
    <w:qFormat/>
    <w:rsid w:val="0043106B"/>
    <w:pPr>
      <w:spacing w:after="240"/>
      <w:jc w:val="left"/>
    </w:pPr>
    <w:rPr>
      <w:rFonts w:ascii="Georgia" w:eastAsia="Calibri" w:hAnsi="Georgia" w:cs="Gill Sans"/>
      <w:i/>
      <w:color w:val="3090C4"/>
      <w:sz w:val="52"/>
      <w:szCs w:val="60"/>
    </w:rPr>
  </w:style>
  <w:style w:type="character" w:customStyle="1" w:styleId="TitleChar">
    <w:name w:val="Title Char"/>
    <w:basedOn w:val="DefaultParagraphFont"/>
    <w:link w:val="Title"/>
    <w:uiPriority w:val="10"/>
    <w:rsid w:val="0043106B"/>
    <w:rPr>
      <w:rFonts w:ascii="Georgia" w:eastAsia="Calibri" w:hAnsi="Georgia" w:cs="Gill Sans"/>
      <w:i/>
      <w:color w:val="3090C4"/>
      <w:sz w:val="52"/>
      <w:szCs w:val="60"/>
    </w:rPr>
  </w:style>
  <w:style w:type="character" w:styleId="Hyperlink">
    <w:name w:val="Hyperlink"/>
    <w:uiPriority w:val="99"/>
    <w:unhideWhenUsed/>
    <w:rsid w:val="000C65D0"/>
    <w:rPr>
      <w:color w:val="auto"/>
      <w:u w:val="none"/>
    </w:rPr>
  </w:style>
  <w:style w:type="paragraph" w:styleId="NormalWeb">
    <w:name w:val="Normal (Web)"/>
    <w:basedOn w:val="Normal"/>
    <w:uiPriority w:val="99"/>
    <w:unhideWhenUsed/>
    <w:rsid w:val="00152F06"/>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3E47A3"/>
    <w:rPr>
      <w:rFonts w:ascii="Gill Sans MT" w:eastAsia="MS Gothic" w:hAnsi="Gill Sans MT" w:cs="Times New Roman"/>
      <w:b/>
      <w:bCs/>
      <w:color w:val="3090C4"/>
      <w:sz w:val="32"/>
      <w:szCs w:val="32"/>
    </w:rPr>
  </w:style>
  <w:style w:type="character" w:customStyle="1" w:styleId="Heading4Char">
    <w:name w:val="Heading 4 Char"/>
    <w:basedOn w:val="DefaultParagraphFont"/>
    <w:link w:val="Heading4"/>
    <w:uiPriority w:val="9"/>
    <w:rsid w:val="007C2ADC"/>
    <w:rPr>
      <w:rFonts w:ascii="Cambria" w:eastAsia="MS Gothic" w:hAnsi="Cambria" w:cs="Times New Roman"/>
      <w:b/>
      <w:bCs/>
      <w:i/>
      <w:iCs/>
      <w:szCs w:val="24"/>
    </w:rPr>
  </w:style>
  <w:style w:type="character" w:styleId="EndnoteReference">
    <w:name w:val="endnote reference"/>
    <w:uiPriority w:val="99"/>
    <w:unhideWhenUsed/>
    <w:rsid w:val="005254A4"/>
    <w:rPr>
      <w:rFonts w:ascii="Georgia" w:hAnsi="Georgia"/>
      <w:sz w:val="22"/>
      <w:vertAlign w:val="superscript"/>
    </w:rPr>
  </w:style>
  <w:style w:type="character" w:styleId="Emphasis">
    <w:name w:val="Emphasis"/>
    <w:uiPriority w:val="20"/>
    <w:qFormat/>
    <w:rsid w:val="00152F06"/>
    <w:rPr>
      <w:i/>
      <w:iCs/>
    </w:rPr>
  </w:style>
  <w:style w:type="paragraph" w:customStyle="1" w:styleId="Default">
    <w:name w:val="Default"/>
    <w:rsid w:val="00152F06"/>
    <w:pPr>
      <w:autoSpaceDE w:val="0"/>
      <w:autoSpaceDN w:val="0"/>
      <w:adjustRightInd w:val="0"/>
    </w:pPr>
    <w:rPr>
      <w:rFonts w:ascii="Gill Sans MT" w:hAnsi="Gill Sans MT" w:cs="Gill Sans MT"/>
      <w:color w:val="000000"/>
      <w:sz w:val="24"/>
      <w:szCs w:val="24"/>
    </w:rPr>
  </w:style>
  <w:style w:type="paragraph" w:styleId="Header">
    <w:name w:val="header"/>
    <w:basedOn w:val="Normal"/>
    <w:link w:val="HeaderChar"/>
    <w:uiPriority w:val="99"/>
    <w:unhideWhenUsed/>
    <w:rsid w:val="00C709FF"/>
    <w:pPr>
      <w:tabs>
        <w:tab w:val="center" w:pos="4680"/>
        <w:tab w:val="right" w:pos="9360"/>
      </w:tabs>
    </w:pPr>
  </w:style>
  <w:style w:type="character" w:customStyle="1" w:styleId="HeaderChar">
    <w:name w:val="Header Char"/>
    <w:basedOn w:val="DefaultParagraphFont"/>
    <w:link w:val="Header"/>
    <w:uiPriority w:val="99"/>
    <w:rsid w:val="00C709FF"/>
    <w:rPr>
      <w:rFonts w:ascii="Cambria" w:eastAsia="Cambria" w:hAnsi="Cambria" w:cs="Times New Roman"/>
      <w:sz w:val="24"/>
      <w:szCs w:val="24"/>
    </w:rPr>
  </w:style>
  <w:style w:type="paragraph" w:styleId="Footer">
    <w:name w:val="footer"/>
    <w:basedOn w:val="Normal"/>
    <w:link w:val="FooterChar"/>
    <w:uiPriority w:val="99"/>
    <w:unhideWhenUsed/>
    <w:rsid w:val="007B2567"/>
    <w:pPr>
      <w:tabs>
        <w:tab w:val="center" w:pos="4680"/>
        <w:tab w:val="right" w:pos="9360"/>
      </w:tabs>
      <w:jc w:val="left"/>
    </w:pPr>
    <w:rPr>
      <w:rFonts w:ascii="Gill Sans MT" w:eastAsia="Times New Roman" w:hAnsi="Gill Sans MT"/>
      <w:sz w:val="16"/>
    </w:rPr>
  </w:style>
  <w:style w:type="character" w:customStyle="1" w:styleId="FooterChar">
    <w:name w:val="Footer Char"/>
    <w:basedOn w:val="DefaultParagraphFont"/>
    <w:link w:val="Footer"/>
    <w:uiPriority w:val="99"/>
    <w:rsid w:val="007B2567"/>
    <w:rPr>
      <w:rFonts w:ascii="Gill Sans MT" w:eastAsia="Times New Roman" w:hAnsi="Gill Sans MT" w:cs="Times New Roman"/>
      <w:sz w:val="16"/>
      <w:szCs w:val="24"/>
    </w:rPr>
  </w:style>
  <w:style w:type="paragraph" w:styleId="CommentSubject">
    <w:name w:val="annotation subject"/>
    <w:basedOn w:val="CommentText"/>
    <w:next w:val="CommentText"/>
    <w:link w:val="CommentSubjectChar"/>
    <w:uiPriority w:val="99"/>
    <w:semiHidden/>
    <w:unhideWhenUsed/>
    <w:rsid w:val="00C74733"/>
    <w:rPr>
      <w:b/>
      <w:bCs/>
    </w:rPr>
  </w:style>
  <w:style w:type="character" w:customStyle="1" w:styleId="CommentSubjectChar">
    <w:name w:val="Comment Subject Char"/>
    <w:basedOn w:val="CommentTextChar"/>
    <w:link w:val="CommentSubject"/>
    <w:uiPriority w:val="99"/>
    <w:semiHidden/>
    <w:rsid w:val="00C74733"/>
    <w:rPr>
      <w:rFonts w:ascii="Cambria" w:eastAsia="Cambria" w:hAnsi="Cambria" w:cs="Times New Roman"/>
      <w:b/>
      <w:bCs/>
      <w:sz w:val="20"/>
      <w:szCs w:val="20"/>
    </w:rPr>
  </w:style>
  <w:style w:type="paragraph" w:customStyle="1" w:styleId="ColorfulShading-Accent11">
    <w:name w:val="Colorful Shading - Accent 11"/>
    <w:hidden/>
    <w:uiPriority w:val="99"/>
    <w:semiHidden/>
    <w:rsid w:val="004D3BC6"/>
    <w:rPr>
      <w:rFonts w:ascii="Cambria" w:eastAsia="Cambria" w:hAnsi="Cambria"/>
      <w:sz w:val="24"/>
      <w:szCs w:val="24"/>
    </w:rPr>
  </w:style>
  <w:style w:type="character" w:styleId="FollowedHyperlink">
    <w:name w:val="FollowedHyperlink"/>
    <w:basedOn w:val="DefaultParagraphFont"/>
    <w:uiPriority w:val="99"/>
    <w:semiHidden/>
    <w:unhideWhenUsed/>
    <w:rsid w:val="00FA16DA"/>
    <w:rPr>
      <w:color w:val="800080"/>
      <w:u w:val="single"/>
    </w:rPr>
  </w:style>
  <w:style w:type="paragraph" w:customStyle="1" w:styleId="ColorfulList-Accent11">
    <w:name w:val="Colorful List - Accent 11"/>
    <w:basedOn w:val="Normal"/>
    <w:uiPriority w:val="34"/>
    <w:qFormat/>
    <w:rsid w:val="0051237E"/>
    <w:pPr>
      <w:spacing w:line="276" w:lineRule="auto"/>
      <w:ind w:left="720"/>
      <w:contextualSpacing/>
    </w:pPr>
    <w:rPr>
      <w:rFonts w:eastAsia="Calibri"/>
      <w:szCs w:val="22"/>
    </w:rPr>
  </w:style>
  <w:style w:type="paragraph" w:styleId="EndnoteText">
    <w:name w:val="endnote text"/>
    <w:basedOn w:val="Normal"/>
    <w:link w:val="EndnoteTextChar"/>
    <w:uiPriority w:val="99"/>
    <w:rsid w:val="00F73374"/>
    <w:pPr>
      <w:spacing w:after="120"/>
      <w:jc w:val="left"/>
    </w:pPr>
    <w:rPr>
      <w:rFonts w:ascii="Georgia" w:eastAsia="Calibri" w:hAnsi="Georgia"/>
      <w:sz w:val="18"/>
      <w:szCs w:val="20"/>
    </w:rPr>
  </w:style>
  <w:style w:type="character" w:customStyle="1" w:styleId="EndnoteTextChar">
    <w:name w:val="Endnote Text Char"/>
    <w:basedOn w:val="DefaultParagraphFont"/>
    <w:link w:val="EndnoteText"/>
    <w:uiPriority w:val="99"/>
    <w:rsid w:val="00F73374"/>
    <w:rPr>
      <w:rFonts w:ascii="Georgia" w:hAnsi="Georgia"/>
      <w:sz w:val="18"/>
      <w:szCs w:val="20"/>
    </w:rPr>
  </w:style>
  <w:style w:type="paragraph" w:customStyle="1" w:styleId="ColorfulList-Accent111">
    <w:name w:val="Colorful List - Accent 111"/>
    <w:basedOn w:val="Normal"/>
    <w:uiPriority w:val="34"/>
    <w:qFormat/>
    <w:rsid w:val="00470417"/>
    <w:pPr>
      <w:spacing w:after="200"/>
      <w:ind w:left="720"/>
      <w:jc w:val="left"/>
    </w:pPr>
    <w:rPr>
      <w:rFonts w:ascii="Cambria" w:hAnsi="Cambria"/>
      <w:sz w:val="24"/>
    </w:rPr>
  </w:style>
  <w:style w:type="paragraph" w:customStyle="1" w:styleId="MediumGrid21">
    <w:name w:val="Medium Grid 21"/>
    <w:uiPriority w:val="1"/>
    <w:qFormat/>
    <w:rsid w:val="00C30769"/>
    <w:pPr>
      <w:jc w:val="both"/>
    </w:pPr>
    <w:rPr>
      <w:rFonts w:eastAsia="Cambria"/>
      <w:sz w:val="22"/>
      <w:szCs w:val="24"/>
    </w:rPr>
  </w:style>
  <w:style w:type="paragraph" w:styleId="BlockText">
    <w:name w:val="Block Text"/>
    <w:basedOn w:val="Normal"/>
    <w:uiPriority w:val="99"/>
    <w:semiHidden/>
    <w:unhideWhenUsed/>
    <w:rsid w:val="0075722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MS Mincho"/>
      <w:i/>
      <w:iCs/>
      <w:color w:val="4F81BD"/>
    </w:rPr>
  </w:style>
  <w:style w:type="paragraph" w:styleId="Subtitle">
    <w:name w:val="Subtitle"/>
    <w:basedOn w:val="MediumGrid21"/>
    <w:next w:val="MediumGrid21"/>
    <w:link w:val="SubtitleChar"/>
    <w:uiPriority w:val="11"/>
    <w:qFormat/>
    <w:rsid w:val="007F75A0"/>
    <w:pPr>
      <w:numPr>
        <w:ilvl w:val="1"/>
      </w:numPr>
    </w:pPr>
    <w:rPr>
      <w:rFonts w:eastAsia="MS Gothic"/>
      <w:iCs/>
      <w:u w:val="single"/>
    </w:rPr>
  </w:style>
  <w:style w:type="character" w:customStyle="1" w:styleId="SubtitleChar">
    <w:name w:val="Subtitle Char"/>
    <w:basedOn w:val="DefaultParagraphFont"/>
    <w:link w:val="Subtitle"/>
    <w:uiPriority w:val="11"/>
    <w:rsid w:val="007F75A0"/>
    <w:rPr>
      <w:rFonts w:eastAsia="MS Gothic" w:cs="Times New Roman"/>
      <w:iCs/>
      <w:szCs w:val="24"/>
      <w:u w:val="single"/>
    </w:rPr>
  </w:style>
  <w:style w:type="character" w:customStyle="1" w:styleId="SubtleEmphasis1">
    <w:name w:val="Subtle Emphasis1"/>
    <w:basedOn w:val="DefaultParagraphFont"/>
    <w:uiPriority w:val="19"/>
    <w:qFormat/>
    <w:rsid w:val="007F75A0"/>
    <w:rPr>
      <w:rFonts w:ascii="Calibri" w:hAnsi="Calibri"/>
      <w:i/>
      <w:iCs/>
      <w:color w:val="auto"/>
      <w:sz w:val="22"/>
    </w:rPr>
  </w:style>
  <w:style w:type="paragraph" w:styleId="BodyText">
    <w:name w:val="Body Text"/>
    <w:basedOn w:val="Normal"/>
    <w:link w:val="BodyTextChar"/>
    <w:uiPriority w:val="99"/>
    <w:unhideWhenUsed/>
    <w:rsid w:val="008A339F"/>
    <w:pPr>
      <w:spacing w:after="120"/>
      <w:jc w:val="left"/>
    </w:pPr>
    <w:rPr>
      <w:rFonts w:ascii="Georgia" w:eastAsia="MS Mincho" w:hAnsi="Georgia"/>
    </w:rPr>
  </w:style>
  <w:style w:type="character" w:customStyle="1" w:styleId="BodyTextChar">
    <w:name w:val="Body Text Char"/>
    <w:basedOn w:val="DefaultParagraphFont"/>
    <w:link w:val="BodyText"/>
    <w:uiPriority w:val="99"/>
    <w:rsid w:val="008A339F"/>
    <w:rPr>
      <w:rFonts w:ascii="Georgia" w:eastAsia="MS Mincho" w:hAnsi="Georgia"/>
      <w:szCs w:val="24"/>
    </w:rPr>
  </w:style>
  <w:style w:type="paragraph" w:styleId="BodyTextFirstIndent">
    <w:name w:val="Body Text First Indent"/>
    <w:basedOn w:val="Normal"/>
    <w:link w:val="BodyTextFirstIndentChar"/>
    <w:uiPriority w:val="99"/>
    <w:unhideWhenUsed/>
    <w:rsid w:val="008A339F"/>
    <w:pPr>
      <w:spacing w:after="120"/>
      <w:ind w:firstLine="360"/>
      <w:jc w:val="left"/>
    </w:pPr>
    <w:rPr>
      <w:rFonts w:ascii="Georgia" w:eastAsia="MS Mincho" w:hAnsi="Georgia"/>
    </w:rPr>
  </w:style>
  <w:style w:type="character" w:customStyle="1" w:styleId="BodyTextFirstIndentChar">
    <w:name w:val="Body Text First Indent Char"/>
    <w:basedOn w:val="BodyTextChar"/>
    <w:link w:val="BodyTextFirstIndent"/>
    <w:uiPriority w:val="99"/>
    <w:rsid w:val="008A339F"/>
    <w:rPr>
      <w:rFonts w:ascii="Georgia" w:eastAsia="MS Mincho" w:hAnsi="Georgia"/>
      <w:szCs w:val="24"/>
    </w:rPr>
  </w:style>
  <w:style w:type="paragraph" w:customStyle="1" w:styleId="FigureandTableTitle">
    <w:name w:val="Figure and Table Title"/>
    <w:basedOn w:val="BodyText"/>
    <w:qFormat/>
    <w:rsid w:val="00E213A1"/>
    <w:pPr>
      <w:keepNext/>
      <w:spacing w:before="360"/>
    </w:pPr>
    <w:rPr>
      <w:rFonts w:ascii="Gill Sans MT" w:hAnsi="Gill Sans MT"/>
      <w:b/>
      <w:noProof/>
    </w:rPr>
  </w:style>
  <w:style w:type="paragraph" w:customStyle="1" w:styleId="FigureandTableNotes">
    <w:name w:val="Figure and Table Notes"/>
    <w:basedOn w:val="FigureandTableTitle"/>
    <w:qFormat/>
    <w:rsid w:val="008A339F"/>
    <w:pPr>
      <w:keepNext w:val="0"/>
      <w:spacing w:before="0" w:after="240"/>
      <w:contextualSpacing/>
    </w:pPr>
    <w:rPr>
      <w:rFonts w:eastAsia="Times New Roman"/>
      <w:b w:val="0"/>
      <w:bCs/>
      <w:noProof w:val="0"/>
      <w:sz w:val="18"/>
      <w:szCs w:val="20"/>
    </w:rPr>
  </w:style>
  <w:style w:type="paragraph" w:styleId="ListNumber">
    <w:name w:val="List Number"/>
    <w:basedOn w:val="Normal"/>
    <w:uiPriority w:val="99"/>
    <w:unhideWhenUsed/>
    <w:rsid w:val="00876BBF"/>
    <w:pPr>
      <w:numPr>
        <w:numId w:val="1"/>
      </w:numPr>
      <w:spacing w:after="240"/>
      <w:contextualSpacing/>
      <w:jc w:val="left"/>
    </w:pPr>
    <w:rPr>
      <w:rFonts w:ascii="Georgia" w:eastAsia="Calibri" w:hAnsi="Georgia"/>
      <w:szCs w:val="22"/>
    </w:rPr>
  </w:style>
  <w:style w:type="paragraph" w:customStyle="1" w:styleId="Reference">
    <w:name w:val="Reference"/>
    <w:basedOn w:val="Normal"/>
    <w:qFormat/>
    <w:rsid w:val="00871A20"/>
    <w:pPr>
      <w:spacing w:after="120"/>
      <w:ind w:left="360" w:hanging="360"/>
      <w:jc w:val="left"/>
    </w:pPr>
    <w:rPr>
      <w:rFonts w:ascii="Georgia" w:eastAsia="MS Mincho" w:hAnsi="Georgia"/>
      <w:sz w:val="20"/>
      <w:szCs w:val="16"/>
    </w:rPr>
  </w:style>
  <w:style w:type="paragraph" w:styleId="ListBullet">
    <w:name w:val="List Bullet"/>
    <w:basedOn w:val="Normal"/>
    <w:uiPriority w:val="99"/>
    <w:unhideWhenUsed/>
    <w:rsid w:val="00624B0A"/>
    <w:pPr>
      <w:numPr>
        <w:numId w:val="16"/>
      </w:numPr>
      <w:contextualSpacing/>
      <w:jc w:val="left"/>
    </w:pPr>
    <w:rPr>
      <w:rFonts w:ascii="Georgia" w:hAnsi="Georgia"/>
    </w:rPr>
  </w:style>
  <w:style w:type="paragraph" w:customStyle="1" w:styleId="Boxtext">
    <w:name w:val="Box text"/>
    <w:basedOn w:val="Normal"/>
    <w:qFormat/>
    <w:rsid w:val="00F14828"/>
    <w:pPr>
      <w:spacing w:after="120"/>
      <w:jc w:val="left"/>
    </w:pPr>
    <w:rPr>
      <w:rFonts w:ascii="Gill Sans MT" w:hAnsi="Gill Sans MT"/>
      <w:sz w:val="20"/>
    </w:rPr>
  </w:style>
  <w:style w:type="paragraph" w:styleId="ListBullet2">
    <w:name w:val="List Bullet 2"/>
    <w:basedOn w:val="ListBullet"/>
    <w:uiPriority w:val="99"/>
    <w:unhideWhenUsed/>
    <w:rsid w:val="00F14828"/>
    <w:pPr>
      <w:numPr>
        <w:numId w:val="17"/>
      </w:numPr>
      <w:spacing w:after="240"/>
    </w:pPr>
  </w:style>
  <w:style w:type="table" w:styleId="TableGrid">
    <w:name w:val="Table Grid"/>
    <w:basedOn w:val="TableNormal"/>
    <w:uiPriority w:val="59"/>
    <w:rsid w:val="006A6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ell">
    <w:name w:val="Table cell"/>
    <w:basedOn w:val="FigureandTableTitle"/>
    <w:qFormat/>
    <w:rsid w:val="006A6F46"/>
    <w:pPr>
      <w:keepNext w:val="0"/>
      <w:widowControl w:val="0"/>
      <w:spacing w:before="0" w:after="0"/>
    </w:pPr>
    <w:rPr>
      <w:b w:val="0"/>
      <w:sz w:val="20"/>
    </w:rPr>
  </w:style>
  <w:style w:type="paragraph" w:customStyle="1" w:styleId="Tablecolumnheading">
    <w:name w:val="Table column heading"/>
    <w:basedOn w:val="Tablecell"/>
    <w:qFormat/>
    <w:rsid w:val="006A6F46"/>
    <w:pPr>
      <w:spacing w:before="60"/>
      <w:jc w:val="center"/>
    </w:pPr>
    <w:rPr>
      <w:b/>
    </w:rPr>
  </w:style>
  <w:style w:type="table" w:styleId="MediumGrid3">
    <w:name w:val="Medium Grid 3"/>
    <w:basedOn w:val="TableNormal"/>
    <w:uiPriority w:val="60"/>
    <w:rsid w:val="000E195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2">
    <w:name w:val="toc 2"/>
    <w:basedOn w:val="Normal"/>
    <w:next w:val="Normal"/>
    <w:autoRedefine/>
    <w:uiPriority w:val="39"/>
    <w:unhideWhenUsed/>
    <w:rsid w:val="0043106B"/>
    <w:pPr>
      <w:tabs>
        <w:tab w:val="right" w:pos="9350"/>
      </w:tabs>
      <w:ind w:left="220"/>
    </w:pPr>
    <w:rPr>
      <w:rFonts w:ascii="Georgia" w:hAnsi="Georgia"/>
    </w:rPr>
  </w:style>
  <w:style w:type="paragraph" w:styleId="TOC1">
    <w:name w:val="toc 1"/>
    <w:basedOn w:val="Normal"/>
    <w:next w:val="Normal"/>
    <w:autoRedefine/>
    <w:uiPriority w:val="39"/>
    <w:unhideWhenUsed/>
    <w:rsid w:val="00D15681"/>
    <w:pPr>
      <w:tabs>
        <w:tab w:val="right" w:pos="9360"/>
      </w:tabs>
      <w:spacing w:before="120"/>
    </w:pPr>
    <w:rPr>
      <w:rFonts w:ascii="Georgia" w:hAnsi="Georgia"/>
    </w:rPr>
  </w:style>
  <w:style w:type="paragraph" w:styleId="TOC3">
    <w:name w:val="toc 3"/>
    <w:basedOn w:val="Normal"/>
    <w:next w:val="Normal"/>
    <w:autoRedefine/>
    <w:uiPriority w:val="39"/>
    <w:unhideWhenUsed/>
    <w:rsid w:val="00AB3898"/>
    <w:pPr>
      <w:ind w:left="440"/>
    </w:pPr>
  </w:style>
  <w:style w:type="paragraph" w:styleId="TOC4">
    <w:name w:val="toc 4"/>
    <w:basedOn w:val="Normal"/>
    <w:next w:val="Normal"/>
    <w:autoRedefine/>
    <w:uiPriority w:val="39"/>
    <w:unhideWhenUsed/>
    <w:rsid w:val="00AB3898"/>
    <w:pPr>
      <w:ind w:left="660"/>
    </w:pPr>
  </w:style>
  <w:style w:type="paragraph" w:styleId="TOC5">
    <w:name w:val="toc 5"/>
    <w:basedOn w:val="Normal"/>
    <w:next w:val="Normal"/>
    <w:autoRedefine/>
    <w:uiPriority w:val="39"/>
    <w:unhideWhenUsed/>
    <w:rsid w:val="00AB3898"/>
    <w:pPr>
      <w:ind w:left="880"/>
    </w:pPr>
  </w:style>
  <w:style w:type="paragraph" w:styleId="TOC6">
    <w:name w:val="toc 6"/>
    <w:basedOn w:val="Normal"/>
    <w:next w:val="Normal"/>
    <w:autoRedefine/>
    <w:uiPriority w:val="39"/>
    <w:unhideWhenUsed/>
    <w:rsid w:val="00AB3898"/>
    <w:pPr>
      <w:ind w:left="1100"/>
    </w:pPr>
  </w:style>
  <w:style w:type="paragraph" w:styleId="TOC7">
    <w:name w:val="toc 7"/>
    <w:basedOn w:val="Normal"/>
    <w:next w:val="Normal"/>
    <w:autoRedefine/>
    <w:uiPriority w:val="39"/>
    <w:unhideWhenUsed/>
    <w:rsid w:val="00AB3898"/>
    <w:pPr>
      <w:ind w:left="1320"/>
    </w:pPr>
  </w:style>
  <w:style w:type="paragraph" w:styleId="TOC8">
    <w:name w:val="toc 8"/>
    <w:basedOn w:val="Normal"/>
    <w:next w:val="Normal"/>
    <w:autoRedefine/>
    <w:uiPriority w:val="39"/>
    <w:unhideWhenUsed/>
    <w:rsid w:val="00AB3898"/>
    <w:pPr>
      <w:ind w:left="1540"/>
    </w:pPr>
  </w:style>
  <w:style w:type="paragraph" w:styleId="TOC9">
    <w:name w:val="toc 9"/>
    <w:basedOn w:val="Normal"/>
    <w:next w:val="Normal"/>
    <w:autoRedefine/>
    <w:uiPriority w:val="39"/>
    <w:unhideWhenUsed/>
    <w:rsid w:val="00AB3898"/>
    <w:pPr>
      <w:ind w:left="1760"/>
    </w:pPr>
  </w:style>
  <w:style w:type="paragraph" w:customStyle="1" w:styleId="Authors">
    <w:name w:val="Authors"/>
    <w:basedOn w:val="Covertext"/>
    <w:qFormat/>
    <w:rsid w:val="0043106B"/>
    <w:rPr>
      <w:color w:val="7F7F7F"/>
    </w:rPr>
  </w:style>
  <w:style w:type="paragraph" w:customStyle="1" w:styleId="Covertext">
    <w:name w:val="Cover text"/>
    <w:qFormat/>
    <w:rsid w:val="0043106B"/>
    <w:rPr>
      <w:rFonts w:ascii="Gill Sans" w:eastAsia="Times New Roman" w:hAnsi="Gill Sans" w:cs="Gill Sans"/>
      <w:smallCaps/>
      <w:color w:val="FFFFFF"/>
      <w:sz w:val="22"/>
      <w:szCs w:val="24"/>
    </w:rPr>
  </w:style>
  <w:style w:type="paragraph" w:customStyle="1" w:styleId="Boilerplate">
    <w:name w:val="Boilerplate"/>
    <w:basedOn w:val="BodyText"/>
    <w:qFormat/>
    <w:rsid w:val="006D58C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792">
      <w:bodyDiv w:val="1"/>
      <w:marLeft w:val="0"/>
      <w:marRight w:val="0"/>
      <w:marTop w:val="0"/>
      <w:marBottom w:val="0"/>
      <w:divBdr>
        <w:top w:val="none" w:sz="0" w:space="0" w:color="auto"/>
        <w:left w:val="none" w:sz="0" w:space="0" w:color="auto"/>
        <w:bottom w:val="none" w:sz="0" w:space="0" w:color="auto"/>
        <w:right w:val="none" w:sz="0" w:space="0" w:color="auto"/>
      </w:divBdr>
    </w:div>
    <w:div w:id="950239064">
      <w:bodyDiv w:val="1"/>
      <w:marLeft w:val="0"/>
      <w:marRight w:val="0"/>
      <w:marTop w:val="0"/>
      <w:marBottom w:val="0"/>
      <w:divBdr>
        <w:top w:val="none" w:sz="0" w:space="0" w:color="auto"/>
        <w:left w:val="none" w:sz="0" w:space="0" w:color="auto"/>
        <w:bottom w:val="none" w:sz="0" w:space="0" w:color="auto"/>
        <w:right w:val="none" w:sz="0" w:space="0" w:color="auto"/>
      </w:divBdr>
    </w:div>
    <w:div w:id="181398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emf"/><Relationship Id="rId26" Type="http://schemas.openxmlformats.org/officeDocument/2006/relationships/chart" Target="charts/chart14.xml"/><Relationship Id="rId39" Type="http://schemas.openxmlformats.org/officeDocument/2006/relationships/hyperlink" Target="http://www.census.gov/hhes/socdemo/language/data/census/li-final.pdf"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www.fiscalpolicy.org/immigrant-small-business-owners-FPI-20120614.pdf" TargetMode="External"/><Relationship Id="rId42" Type="http://schemas.openxmlformats.org/officeDocument/2006/relationships/hyperlink" Target="http://www.lep.gov/resources/081511_Language_Access_CAQ_TA_Guidance.pdf"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jpeg"/><Relationship Id="rId25" Type="http://schemas.openxmlformats.org/officeDocument/2006/relationships/chart" Target="charts/chart13.xml"/><Relationship Id="rId33" Type="http://schemas.openxmlformats.org/officeDocument/2006/relationships/hyperlink" Target="http://www.dhs.gov/xlibrary/assets/statistics/publications/ois_ill_pe_2010.pdf" TargetMode="External"/><Relationship Id="rId38" Type="http://schemas.openxmlformats.org/officeDocument/2006/relationships/hyperlink" Target="https://www.census.gov/2010census/pdf/2010_Census_Enumeration_Non-English_Speaking_Households.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es.dc.gov/node/184892" TargetMode="External"/><Relationship Id="rId20" Type="http://schemas.openxmlformats.org/officeDocument/2006/relationships/chart" Target="charts/chart8.xml"/><Relationship Id="rId29" Type="http://schemas.openxmlformats.org/officeDocument/2006/relationships/hyperlink" Target="http://www.wcl.american.edu/news/documents/AccessDenied.pdf" TargetMode="External"/><Relationship Id="rId41" Type="http://schemas.openxmlformats.org/officeDocument/2006/relationships/hyperlink" Target="https://www.census.gov/acs/www/Downloads/survey_methodology/acs_design_methodolog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s://www.census.gov/cac/race_ethnic_advisory_committees/docs/2005_April_acs-noninterview-rates.pdf" TargetMode="External"/><Relationship Id="rId37" Type="http://schemas.openxmlformats.org/officeDocument/2006/relationships/hyperlink" Target="http://www.nyc.gov/html/imm/downloads/pdf/Blueprints/BII-Language-Access.pdf" TargetMode="External"/><Relationship Id="rId40" Type="http://schemas.openxmlformats.org/officeDocument/2006/relationships/hyperlink" Target="http://www.brookings.edu/research/articles/2013/04/washington-dc-immigration-singe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www.montgomerycountymd.gov/lep/documents.html" TargetMode="Externa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http://www.urban.org/publications/411338.htm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www.arlingtonva.us/departments/CountyManager/HumanRights/Limited%20English%20Proficiency%20Policy%20Implementation.pdf" TargetMode="External"/><Relationship Id="rId35" Type="http://schemas.openxmlformats.org/officeDocument/2006/relationships/hyperlink" Target="http://www.migrationpolicy.org/research/working-assessment-and-evaluation-methods-used-build-and-access-language-services-social" TargetMode="External"/><Relationship Id="rId43"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migrationpolicy.org/programs/language-access-translation-and-interpretation-policies-and-practices/practitioners-corner-more" TargetMode="External"/><Relationship Id="rId1" Type="http://schemas.openxmlformats.org/officeDocument/2006/relationships/hyperlink" Target="http://www.migrationpolicy.org/programs/language-access-translation-and-interpretation-policies-and-practices/practitioners-corner-mo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Sheet1!$D$1:$D$2</c:f>
              <c:strCache>
                <c:ptCount val="1"/>
                <c:pt idx="0">
                  <c:v>Foreign born</c:v>
                </c:pt>
              </c:strCache>
            </c:strRef>
          </c:tx>
          <c:spPr>
            <a:ln>
              <a:solidFill>
                <a:srgbClr val="3090C4"/>
              </a:solidFill>
            </a:ln>
          </c:spPr>
          <c:marker>
            <c:symbol val="none"/>
          </c:marker>
          <c:cat>
            <c:numRef>
              <c:f>Sheet1!$A$3:$A$14</c:f>
              <c:numCache>
                <c:formatCode>General</c:formatCode>
                <c:ptCount val="12"/>
                <c:pt idx="0">
                  <c:v>1900</c:v>
                </c:pt>
                <c:pt idx="1">
                  <c:v>1910</c:v>
                </c:pt>
                <c:pt idx="2">
                  <c:v>1920</c:v>
                </c:pt>
                <c:pt idx="3">
                  <c:v>1930</c:v>
                </c:pt>
                <c:pt idx="4">
                  <c:v>1940</c:v>
                </c:pt>
                <c:pt idx="5">
                  <c:v>1950</c:v>
                </c:pt>
                <c:pt idx="6">
                  <c:v>1960</c:v>
                </c:pt>
                <c:pt idx="7">
                  <c:v>1970</c:v>
                </c:pt>
                <c:pt idx="8">
                  <c:v>1980</c:v>
                </c:pt>
                <c:pt idx="9">
                  <c:v>1990</c:v>
                </c:pt>
                <c:pt idx="10">
                  <c:v>2000</c:v>
                </c:pt>
                <c:pt idx="11">
                  <c:v>2010</c:v>
                </c:pt>
              </c:numCache>
            </c:numRef>
          </c:cat>
          <c:val>
            <c:numRef>
              <c:f>Sheet1!$D$3:$D$14</c:f>
              <c:numCache>
                <c:formatCode>#,##0</c:formatCode>
                <c:ptCount val="12"/>
                <c:pt idx="0">
                  <c:v>20119</c:v>
                </c:pt>
                <c:pt idx="1">
                  <c:v>24902</c:v>
                </c:pt>
                <c:pt idx="2">
                  <c:v>29365</c:v>
                </c:pt>
                <c:pt idx="3">
                  <c:v>30733</c:v>
                </c:pt>
                <c:pt idx="4">
                  <c:v>34916</c:v>
                </c:pt>
                <c:pt idx="5">
                  <c:v>42740</c:v>
                </c:pt>
                <c:pt idx="6">
                  <c:v>38971</c:v>
                </c:pt>
                <c:pt idx="7">
                  <c:v>33562</c:v>
                </c:pt>
                <c:pt idx="8">
                  <c:v>40559</c:v>
                </c:pt>
                <c:pt idx="9">
                  <c:v>58887</c:v>
                </c:pt>
                <c:pt idx="10">
                  <c:v>73561</c:v>
                </c:pt>
                <c:pt idx="11">
                  <c:v>81734</c:v>
                </c:pt>
              </c:numCache>
            </c:numRef>
          </c:val>
          <c:smooth val="0"/>
        </c:ser>
        <c:dLbls>
          <c:showLegendKey val="0"/>
          <c:showVal val="0"/>
          <c:showCatName val="0"/>
          <c:showSerName val="0"/>
          <c:showPercent val="0"/>
          <c:showBubbleSize val="0"/>
        </c:dLbls>
        <c:marker val="1"/>
        <c:smooth val="0"/>
        <c:axId val="204193792"/>
        <c:axId val="204195328"/>
      </c:lineChart>
      <c:catAx>
        <c:axId val="204193792"/>
        <c:scaling>
          <c:orientation val="minMax"/>
        </c:scaling>
        <c:delete val="0"/>
        <c:axPos val="b"/>
        <c:numFmt formatCode="General" sourceLinked="1"/>
        <c:majorTickMark val="none"/>
        <c:minorTickMark val="none"/>
        <c:tickLblPos val="nextTo"/>
        <c:crossAx val="204195328"/>
        <c:crosses val="autoZero"/>
        <c:auto val="1"/>
        <c:lblAlgn val="ctr"/>
        <c:lblOffset val="100"/>
        <c:noMultiLvlLbl val="0"/>
      </c:catAx>
      <c:valAx>
        <c:axId val="204195328"/>
        <c:scaling>
          <c:orientation val="minMax"/>
        </c:scaling>
        <c:delete val="0"/>
        <c:axPos val="l"/>
        <c:majorGridlines/>
        <c:numFmt formatCode="#,##0" sourceLinked="1"/>
        <c:majorTickMark val="none"/>
        <c:minorTickMark val="none"/>
        <c:tickLblPos val="nextTo"/>
        <c:crossAx val="204193792"/>
        <c:crosses val="autoZero"/>
        <c:crossBetween val="midCat"/>
      </c:valAx>
    </c:plotArea>
    <c:plotVisOnly val="1"/>
    <c:dispBlanksAs val="gap"/>
    <c:showDLblsOverMax val="0"/>
  </c:chart>
  <c:spPr>
    <a:ln>
      <a:noFill/>
    </a:ln>
  </c:spPr>
  <c:txPr>
    <a:bodyPr/>
    <a:lstStyle/>
    <a:p>
      <a:pPr>
        <a:defRPr>
          <a:latin typeface="Gill Sans MT" panose="020B0502020104020203"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0.20962561971420199"/>
          <c:y val="0.121499975879462"/>
          <c:w val="0.62933158423255797"/>
          <c:h val="0.85460590153503502"/>
        </c:manualLayout>
      </c:layout>
      <c:pieChart>
        <c:varyColors val="1"/>
        <c:ser>
          <c:idx val="0"/>
          <c:order val="0"/>
          <c:dPt>
            <c:idx val="0"/>
            <c:bubble3D val="0"/>
            <c:spPr>
              <a:solidFill>
                <a:srgbClr val="3090C4"/>
              </a:solidFill>
            </c:spPr>
          </c:dPt>
          <c:dPt>
            <c:idx val="1"/>
            <c:bubble3D val="0"/>
            <c:spPr>
              <a:solidFill>
                <a:srgbClr val="96C9E6"/>
              </a:solidFill>
            </c:spPr>
          </c:dPt>
          <c:dPt>
            <c:idx val="2"/>
            <c:bubble3D val="0"/>
            <c:spPr>
              <a:solidFill>
                <a:schemeClr val="tx1">
                  <a:lumMod val="50000"/>
                  <a:lumOff val="50000"/>
                </a:schemeClr>
              </a:solidFill>
            </c:spPr>
          </c:dPt>
          <c:dPt>
            <c:idx val="3"/>
            <c:bubble3D val="0"/>
            <c:spPr>
              <a:solidFill>
                <a:schemeClr val="bg1">
                  <a:lumMod val="75000"/>
                </a:schemeClr>
              </a:solidFill>
            </c:spPr>
          </c:dPt>
          <c:dPt>
            <c:idx val="4"/>
            <c:bubble3D val="0"/>
            <c:spPr>
              <a:solidFill>
                <a:schemeClr val="accent1">
                  <a:lumMod val="20000"/>
                  <a:lumOff val="80000"/>
                </a:schemeClr>
              </a:solidFill>
            </c:spPr>
          </c:dPt>
          <c:dLbls>
            <c:numFmt formatCode="0.0%" sourceLinked="0"/>
            <c:txPr>
              <a:bodyPr/>
              <a:lstStyle/>
              <a:p>
                <a:pPr>
                  <a:defRPr sz="1000">
                    <a:latin typeface="Gill Sans MT"/>
                  </a:defRPr>
                </a:pPr>
                <a:endParaRPr lang="en-US"/>
              </a:p>
            </c:txPr>
            <c:dLblPos val="outEnd"/>
            <c:showLegendKey val="0"/>
            <c:showVal val="1"/>
            <c:showCatName val="1"/>
            <c:showSerName val="0"/>
            <c:showPercent val="0"/>
            <c:showBubbleSize val="1"/>
            <c:separator>
</c:separator>
            <c:showLeaderLines val="0"/>
          </c:dLbls>
          <c:cat>
            <c:strRef>
              <c:f>'data top lang'!$A$3:$A$7</c:f>
              <c:strCache>
                <c:ptCount val="5"/>
                <c:pt idx="0">
                  <c:v>Spanish</c:v>
                </c:pt>
                <c:pt idx="1">
                  <c:v>Amharic / Ethiopian</c:v>
                </c:pt>
                <c:pt idx="2">
                  <c:v>French</c:v>
                </c:pt>
                <c:pt idx="3">
                  <c:v>Chinese</c:v>
                </c:pt>
                <c:pt idx="4">
                  <c:v>All other</c:v>
                </c:pt>
              </c:strCache>
            </c:strRef>
          </c:cat>
          <c:val>
            <c:numRef>
              <c:f>'data top lang'!$C$3:$C$7</c:f>
              <c:numCache>
                <c:formatCode>0.0%</c:formatCode>
                <c:ptCount val="5"/>
                <c:pt idx="0">
                  <c:v>0.60766693208963718</c:v>
                </c:pt>
                <c:pt idx="1">
                  <c:v>9.7675653130095172E-2</c:v>
                </c:pt>
                <c:pt idx="2">
                  <c:v>4.8761991430629814E-2</c:v>
                </c:pt>
                <c:pt idx="3">
                  <c:v>3.1433663216168049E-2</c:v>
                </c:pt>
                <c:pt idx="4">
                  <c:v>0.21446176013346985</c:v>
                </c:pt>
              </c:numCache>
            </c:numRef>
          </c:val>
        </c:ser>
        <c:dLbls>
          <c:showLegendKey val="1"/>
          <c:showVal val="1"/>
          <c:showCatName val="1"/>
          <c:showSerName val="1"/>
          <c:showPercent val="1"/>
          <c:showBubbleSize val="1"/>
          <c:showLeaderLines val="0"/>
        </c:dLbls>
        <c:firstSliceAng val="0"/>
      </c:pieChart>
    </c:plotArea>
    <c:plotVisOnly val="1"/>
    <c:dispBlanksAs val="zero"/>
    <c:showDLblsOverMax val="1"/>
  </c:chart>
  <c:spPr>
    <a:ln>
      <a:noFill/>
    </a:ln>
  </c:spPr>
  <c:externalData r:id="rId1">
    <c:autoUpdate val="1"/>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0.212556669724945"/>
          <c:y val="6.8284624091816196E-2"/>
          <c:w val="0.58606438978958497"/>
          <c:h val="0.86185940856552601"/>
        </c:manualLayout>
      </c:layout>
      <c:pieChart>
        <c:varyColors val="1"/>
        <c:ser>
          <c:idx val="0"/>
          <c:order val="0"/>
          <c:dPt>
            <c:idx val="0"/>
            <c:bubble3D val="0"/>
            <c:spPr>
              <a:solidFill>
                <a:srgbClr val="3090C4"/>
              </a:solidFill>
            </c:spPr>
          </c:dPt>
          <c:dPt>
            <c:idx val="1"/>
            <c:bubble3D val="0"/>
            <c:spPr>
              <a:solidFill>
                <a:schemeClr val="bg1">
                  <a:lumMod val="95000"/>
                </a:schemeClr>
              </a:solidFill>
            </c:spPr>
          </c:dPt>
          <c:dPt>
            <c:idx val="2"/>
            <c:bubble3D val="0"/>
            <c:spPr>
              <a:solidFill>
                <a:srgbClr val="96C9E6"/>
              </a:solidFill>
            </c:spPr>
          </c:dPt>
          <c:dPt>
            <c:idx val="3"/>
            <c:bubble3D val="0"/>
            <c:spPr>
              <a:solidFill>
                <a:srgbClr val="2A6288"/>
              </a:solidFill>
            </c:spPr>
          </c:dPt>
          <c:dPt>
            <c:idx val="4"/>
            <c:bubble3D val="0"/>
            <c:spPr>
              <a:solidFill>
                <a:schemeClr val="bg1">
                  <a:lumMod val="85000"/>
                </a:schemeClr>
              </a:solidFill>
            </c:spPr>
          </c:dPt>
          <c:dPt>
            <c:idx val="5"/>
            <c:bubble3D val="0"/>
            <c:spPr>
              <a:solidFill>
                <a:schemeClr val="tx2">
                  <a:lumMod val="75000"/>
                </a:schemeClr>
              </a:solidFill>
            </c:spPr>
          </c:dPt>
          <c:dPt>
            <c:idx val="6"/>
            <c:bubble3D val="0"/>
            <c:spPr>
              <a:solidFill>
                <a:schemeClr val="bg1"/>
              </a:solidFill>
              <a:ln>
                <a:solidFill>
                  <a:schemeClr val="tx1"/>
                </a:solidFill>
              </a:ln>
            </c:spPr>
          </c:dPt>
          <c:dPt>
            <c:idx val="7"/>
            <c:bubble3D val="0"/>
            <c:spPr>
              <a:solidFill>
                <a:schemeClr val="tx1">
                  <a:lumMod val="50000"/>
                  <a:lumOff val="50000"/>
                </a:schemeClr>
              </a:solidFill>
            </c:spPr>
          </c:dPt>
          <c:dPt>
            <c:idx val="8"/>
            <c:bubble3D val="0"/>
            <c:spPr>
              <a:solidFill>
                <a:schemeClr val="accent1">
                  <a:lumMod val="40000"/>
                  <a:lumOff val="60000"/>
                </a:schemeClr>
              </a:solidFill>
            </c:spPr>
          </c:dPt>
          <c:dPt>
            <c:idx val="9"/>
            <c:bubble3D val="0"/>
            <c:spPr>
              <a:solidFill>
                <a:schemeClr val="tx1"/>
              </a:solidFill>
            </c:spPr>
          </c:dPt>
          <c:dPt>
            <c:idx val="10"/>
            <c:bubble3D val="0"/>
            <c:spPr>
              <a:solidFill>
                <a:schemeClr val="accent1">
                  <a:lumMod val="20000"/>
                  <a:lumOff val="80000"/>
                </a:schemeClr>
              </a:solidFill>
            </c:spPr>
          </c:dPt>
          <c:dLbls>
            <c:numFmt formatCode="0.0%" sourceLinked="0"/>
            <c:txPr>
              <a:bodyPr/>
              <a:lstStyle/>
              <a:p>
                <a:pPr>
                  <a:defRPr sz="1000">
                    <a:latin typeface="Gill Sans MT"/>
                  </a:defRPr>
                </a:pPr>
                <a:endParaRPr lang="en-US"/>
              </a:p>
            </c:txPr>
            <c:dLblPos val="outEnd"/>
            <c:showLegendKey val="0"/>
            <c:showVal val="1"/>
            <c:showCatName val="1"/>
            <c:showSerName val="0"/>
            <c:showPercent val="0"/>
            <c:showBubbleSize val="1"/>
            <c:separator>, </c:separator>
            <c:showLeaderLines val="0"/>
          </c:dLbls>
          <c:cat>
            <c:strRef>
              <c:f>datacountry!$A$5:$A$15</c:f>
              <c:strCache>
                <c:ptCount val="11"/>
                <c:pt idx="0">
                  <c:v>El Salvador</c:v>
                </c:pt>
                <c:pt idx="1">
                  <c:v>United States</c:v>
                </c:pt>
                <c:pt idx="2">
                  <c:v>Ethiopia</c:v>
                </c:pt>
                <c:pt idx="3">
                  <c:v>Guatemala</c:v>
                </c:pt>
                <c:pt idx="4">
                  <c:v>Honduras</c:v>
                </c:pt>
                <c:pt idx="5">
                  <c:v>Mexico</c:v>
                </c:pt>
                <c:pt idx="6">
                  <c:v>Dominican Republic</c:v>
                </c:pt>
                <c:pt idx="7">
                  <c:v>China</c:v>
                </c:pt>
                <c:pt idx="8">
                  <c:v>Brazil</c:v>
                </c:pt>
                <c:pt idx="9">
                  <c:v>Vietnam</c:v>
                </c:pt>
                <c:pt idx="10">
                  <c:v>All other</c:v>
                </c:pt>
              </c:strCache>
            </c:strRef>
          </c:cat>
          <c:val>
            <c:numRef>
              <c:f>datacountry!$C$5:$C$15</c:f>
              <c:numCache>
                <c:formatCode>0.00%</c:formatCode>
                <c:ptCount val="11"/>
                <c:pt idx="0">
                  <c:v>0.26879999999999998</c:v>
                </c:pt>
                <c:pt idx="1">
                  <c:v>0.13800000000000001</c:v>
                </c:pt>
                <c:pt idx="2">
                  <c:v>9.2700000000000005E-2</c:v>
                </c:pt>
                <c:pt idx="3">
                  <c:v>6.0400000000000002E-2</c:v>
                </c:pt>
                <c:pt idx="4">
                  <c:v>3.5999999999999997E-2</c:v>
                </c:pt>
                <c:pt idx="5">
                  <c:v>3.0800000000000001E-2</c:v>
                </c:pt>
                <c:pt idx="6">
                  <c:v>2.9399999999999999E-2</c:v>
                </c:pt>
                <c:pt idx="7">
                  <c:v>2.5100000000000001E-2</c:v>
                </c:pt>
                <c:pt idx="8">
                  <c:v>1.7600000000000001E-2</c:v>
                </c:pt>
                <c:pt idx="9">
                  <c:v>1.52E-2</c:v>
                </c:pt>
                <c:pt idx="10">
                  <c:v>0.28569999999999995</c:v>
                </c:pt>
              </c:numCache>
            </c:numRef>
          </c:val>
        </c:ser>
        <c:dLbls>
          <c:showLegendKey val="1"/>
          <c:showVal val="1"/>
          <c:showCatName val="1"/>
          <c:showSerName val="1"/>
          <c:showPercent val="1"/>
          <c:showBubbleSize val="1"/>
          <c:showLeaderLines val="0"/>
        </c:dLbls>
        <c:firstSliceAng val="0"/>
      </c:pieChart>
    </c:plotArea>
    <c:plotVisOnly val="1"/>
    <c:dispBlanksAs val="zero"/>
    <c:showDLblsOverMax val="1"/>
  </c:chart>
  <c:spPr>
    <a:ln>
      <a:noFill/>
    </a:ln>
  </c:sp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8.9953774434912107E-2"/>
          <c:y val="0.122058566208636"/>
          <c:w val="0.89744306681814001"/>
          <c:h val="0.76908143210711299"/>
        </c:manualLayout>
      </c:layout>
      <c:barChart>
        <c:barDir val="col"/>
        <c:grouping val="percentStacked"/>
        <c:varyColors val="1"/>
        <c:ser>
          <c:idx val="0"/>
          <c:order val="0"/>
          <c:tx>
            <c:strRef>
              <c:f>'[Final set of graphs LEP section_ed.xlsx]data age by lang'!$D$1</c:f>
              <c:strCache>
                <c:ptCount val="1"/>
                <c:pt idx="0">
                  <c:v>Age 5-17</c:v>
                </c:pt>
              </c:strCache>
            </c:strRef>
          </c:tx>
          <c:spPr>
            <a:solidFill>
              <a:srgbClr val="3090C4"/>
            </a:solidFill>
          </c:spPr>
          <c:invertIfNegative val="1"/>
          <c:dLbls>
            <c:numFmt formatCode="0.0%" sourceLinked="0"/>
            <c:txPr>
              <a:bodyPr/>
              <a:lstStyle/>
              <a:p>
                <a:pPr>
                  <a:defRPr sz="1000">
                    <a:solidFill>
                      <a:srgbClr val="FFFFFF"/>
                    </a:solidFill>
                    <a:latin typeface="Gill Sans MT"/>
                    <a:cs typeface="Gill Sans MT"/>
                  </a:defRPr>
                </a:pPr>
                <a:endParaRPr lang="en-US"/>
              </a:p>
            </c:txPr>
            <c:showLegendKey val="0"/>
            <c:showVal val="1"/>
            <c:showCatName val="0"/>
            <c:showSerName val="0"/>
            <c:showPercent val="1"/>
            <c:showBubbleSize val="1"/>
            <c:showLeaderLines val="0"/>
          </c:dLbls>
          <c:cat>
            <c:multiLvlStrRef>
              <c:f>'[Final set of graphs LEP section_ed.xlsx]data age by lang'!$A$2:$B$8</c:f>
              <c:multiLvlStrCache>
                <c:ptCount val="7"/>
                <c:lvl>
                  <c:pt idx="0">
                    <c:v>All languages</c:v>
                  </c:pt>
                  <c:pt idx="1">
                    <c:v>Spanish</c:v>
                  </c:pt>
                  <c:pt idx="2">
                    <c:v>Chinese</c:v>
                  </c:pt>
                  <c:pt idx="3">
                    <c:v>Korean</c:v>
                  </c:pt>
                  <c:pt idx="4">
                    <c:v>Vietnamese</c:v>
                  </c:pt>
                  <c:pt idx="5">
                    <c:v>Amharic/Ethiopian</c:v>
                  </c:pt>
                  <c:pt idx="6">
                    <c:v>French</c:v>
                  </c:pt>
                </c:lvl>
                <c:lvl>
                  <c:pt idx="0">
                    <c:v>(N=303,501)</c:v>
                  </c:pt>
                  <c:pt idx="1">
                    <c:v>(N=156,215)</c:v>
                  </c:pt>
                  <c:pt idx="2">
                    <c:v>(N=18,691)</c:v>
                  </c:pt>
                  <c:pt idx="3">
                    <c:v>(N=15,794)</c:v>
                  </c:pt>
                  <c:pt idx="4">
                    <c:v>(N=14,883)</c:v>
                  </c:pt>
                  <c:pt idx="5">
                    <c:v>(N=11,563)</c:v>
                  </c:pt>
                  <c:pt idx="6">
                    <c:v>(N=11,081)</c:v>
                  </c:pt>
                </c:lvl>
              </c:multiLvlStrCache>
            </c:multiLvlStrRef>
          </c:cat>
          <c:val>
            <c:numRef>
              <c:f>'[Final set of graphs LEP section_ed.xlsx]data age by lang'!$D$2:$D$8</c:f>
              <c:numCache>
                <c:formatCode>0.0%</c:formatCode>
                <c:ptCount val="7"/>
                <c:pt idx="0">
                  <c:v>7.8200000000000006E-2</c:v>
                </c:pt>
                <c:pt idx="1">
                  <c:v>7.3899999999999993E-2</c:v>
                </c:pt>
                <c:pt idx="2">
                  <c:v>6.2700000000000006E-2</c:v>
                </c:pt>
                <c:pt idx="3">
                  <c:v>5.0599999999999999E-2</c:v>
                </c:pt>
                <c:pt idx="4">
                  <c:v>0.1089</c:v>
                </c:pt>
                <c:pt idx="5">
                  <c:v>7.4899999999999994E-2</c:v>
                </c:pt>
                <c:pt idx="6">
                  <c:v>0.15110000000000001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'[Final set of graphs LEP section_ed.xlsx]data age by lang'!$F$1</c:f>
              <c:strCache>
                <c:ptCount val="1"/>
                <c:pt idx="0">
                  <c:v>Age 18-64</c:v>
                </c:pt>
              </c:strCache>
            </c:strRef>
          </c:tx>
          <c:spPr>
            <a:solidFill>
              <a:srgbClr val="96C9E6"/>
            </a:solidFill>
          </c:spPr>
          <c:invertIfNegative val="1"/>
          <c:dLbls>
            <c:txPr>
              <a:bodyPr/>
              <a:lstStyle/>
              <a:p>
                <a:pPr>
                  <a:defRPr sz="1000">
                    <a:latin typeface="Gill Sans MT"/>
                  </a:defRPr>
                </a:pPr>
                <a:endParaRPr lang="en-US"/>
              </a:p>
            </c:txPr>
            <c:showLegendKey val="0"/>
            <c:showVal val="1"/>
            <c:showCatName val="0"/>
            <c:showSerName val="0"/>
            <c:showPercent val="1"/>
            <c:showBubbleSize val="1"/>
            <c:showLeaderLines val="0"/>
          </c:dLbls>
          <c:cat>
            <c:multiLvlStrRef>
              <c:f>'[Final set of graphs LEP section_ed.xlsx]data age by lang'!$A$2:$B$8</c:f>
              <c:multiLvlStrCache>
                <c:ptCount val="7"/>
                <c:lvl>
                  <c:pt idx="0">
                    <c:v>All languages</c:v>
                  </c:pt>
                  <c:pt idx="1">
                    <c:v>Spanish</c:v>
                  </c:pt>
                  <c:pt idx="2">
                    <c:v>Chinese</c:v>
                  </c:pt>
                  <c:pt idx="3">
                    <c:v>Korean</c:v>
                  </c:pt>
                  <c:pt idx="4">
                    <c:v>Vietnamese</c:v>
                  </c:pt>
                  <c:pt idx="5">
                    <c:v>Amharic/Ethiopian</c:v>
                  </c:pt>
                  <c:pt idx="6">
                    <c:v>French</c:v>
                  </c:pt>
                </c:lvl>
                <c:lvl>
                  <c:pt idx="0">
                    <c:v>(N=303,501)</c:v>
                  </c:pt>
                  <c:pt idx="1">
                    <c:v>(N=156,215)</c:v>
                  </c:pt>
                  <c:pt idx="2">
                    <c:v>(N=18,691)</c:v>
                  </c:pt>
                  <c:pt idx="3">
                    <c:v>(N=15,794)</c:v>
                  </c:pt>
                  <c:pt idx="4">
                    <c:v>(N=14,883)</c:v>
                  </c:pt>
                  <c:pt idx="5">
                    <c:v>(N=11,563)</c:v>
                  </c:pt>
                  <c:pt idx="6">
                    <c:v>(N=11,081)</c:v>
                  </c:pt>
                </c:lvl>
              </c:multiLvlStrCache>
            </c:multiLvlStrRef>
          </c:cat>
          <c:val>
            <c:numRef>
              <c:f>'[Final set of graphs LEP section_ed.xlsx]data age by lang'!$F$2:$F$8</c:f>
              <c:numCache>
                <c:formatCode>0.0%</c:formatCode>
                <c:ptCount val="7"/>
                <c:pt idx="0">
                  <c:v>0.80179999999999996</c:v>
                </c:pt>
                <c:pt idx="1">
                  <c:v>0.86029999999999995</c:v>
                </c:pt>
                <c:pt idx="2">
                  <c:v>0.746</c:v>
                </c:pt>
                <c:pt idx="3">
                  <c:v>0.7056</c:v>
                </c:pt>
                <c:pt idx="4">
                  <c:v>0.73880000000000001</c:v>
                </c:pt>
                <c:pt idx="5">
                  <c:v>0.84860000000000002</c:v>
                </c:pt>
                <c:pt idx="6">
                  <c:v>0.72940000000000005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'[Final set of graphs LEP section_ed.xlsx]data age by lang'!$H$1</c:f>
              <c:strCache>
                <c:ptCount val="1"/>
                <c:pt idx="0">
                  <c:v>Age 65 and older</c:v>
                </c:pt>
              </c:strCache>
            </c:strRef>
          </c:tx>
          <c:spPr>
            <a:solidFill>
              <a:srgbClr val="7F7F7F"/>
            </a:solidFill>
          </c:spPr>
          <c:invertIfNegative val="1"/>
          <c:dLbls>
            <c:txPr>
              <a:bodyPr/>
              <a:lstStyle/>
              <a:p>
                <a:pPr>
                  <a:defRPr sz="1000">
                    <a:solidFill>
                      <a:schemeClr val="bg1"/>
                    </a:solidFill>
                    <a:latin typeface="Gill Sans MT"/>
                  </a:defRPr>
                </a:pPr>
                <a:endParaRPr lang="en-US"/>
              </a:p>
            </c:txPr>
            <c:showLegendKey val="0"/>
            <c:showVal val="1"/>
            <c:showCatName val="0"/>
            <c:showSerName val="0"/>
            <c:showPercent val="1"/>
            <c:showBubbleSize val="1"/>
            <c:showLeaderLines val="0"/>
          </c:dLbls>
          <c:cat>
            <c:multiLvlStrRef>
              <c:f>'[Final set of graphs LEP section_ed.xlsx]data age by lang'!$A$2:$B$8</c:f>
              <c:multiLvlStrCache>
                <c:ptCount val="7"/>
                <c:lvl>
                  <c:pt idx="0">
                    <c:v>All languages</c:v>
                  </c:pt>
                  <c:pt idx="1">
                    <c:v>Spanish</c:v>
                  </c:pt>
                  <c:pt idx="2">
                    <c:v>Chinese</c:v>
                  </c:pt>
                  <c:pt idx="3">
                    <c:v>Korean</c:v>
                  </c:pt>
                  <c:pt idx="4">
                    <c:v>Vietnamese</c:v>
                  </c:pt>
                  <c:pt idx="5">
                    <c:v>Amharic/Ethiopian</c:v>
                  </c:pt>
                  <c:pt idx="6">
                    <c:v>French</c:v>
                  </c:pt>
                </c:lvl>
                <c:lvl>
                  <c:pt idx="0">
                    <c:v>(N=303,501)</c:v>
                  </c:pt>
                  <c:pt idx="1">
                    <c:v>(N=156,215)</c:v>
                  </c:pt>
                  <c:pt idx="2">
                    <c:v>(N=18,691)</c:v>
                  </c:pt>
                  <c:pt idx="3">
                    <c:v>(N=15,794)</c:v>
                  </c:pt>
                  <c:pt idx="4">
                    <c:v>(N=14,883)</c:v>
                  </c:pt>
                  <c:pt idx="5">
                    <c:v>(N=11,563)</c:v>
                  </c:pt>
                  <c:pt idx="6">
                    <c:v>(N=11,081)</c:v>
                  </c:pt>
                </c:lvl>
              </c:multiLvlStrCache>
            </c:multiLvlStrRef>
          </c:cat>
          <c:val>
            <c:numRef>
              <c:f>'[Final set of graphs LEP section_ed.xlsx]data age by lang'!$H$2:$H$8</c:f>
              <c:numCache>
                <c:formatCode>0.0%</c:formatCode>
                <c:ptCount val="7"/>
                <c:pt idx="0">
                  <c:v>0.12</c:v>
                </c:pt>
                <c:pt idx="1">
                  <c:v>6.5799999999999997E-2</c:v>
                </c:pt>
                <c:pt idx="2">
                  <c:v>0.1913</c:v>
                </c:pt>
                <c:pt idx="3">
                  <c:v>0.24379999999999999</c:v>
                </c:pt>
                <c:pt idx="4">
                  <c:v>0.15229999999999999</c:v>
                </c:pt>
                <c:pt idx="5">
                  <c:v>7.6499999999999999E-2</c:v>
                </c:pt>
                <c:pt idx="6">
                  <c:v>0.1196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40"/>
        <c:overlap val="100"/>
        <c:axId val="202513408"/>
        <c:axId val="202531584"/>
      </c:barChart>
      <c:catAx>
        <c:axId val="202513408"/>
        <c:scaling>
          <c:orientation val="minMax"/>
        </c:scaling>
        <c:delete val="0"/>
        <c:axPos val="b"/>
        <c:majorTickMark val="none"/>
        <c:minorTickMark val="none"/>
        <c:tickLblPos val="nextTo"/>
        <c:spPr>
          <a:ln>
            <a:solidFill>
              <a:schemeClr val="bg1">
                <a:lumMod val="65000"/>
              </a:schemeClr>
            </a:solidFill>
          </a:ln>
        </c:spPr>
        <c:txPr>
          <a:bodyPr/>
          <a:lstStyle/>
          <a:p>
            <a:pPr>
              <a:defRPr sz="800" baseline="0">
                <a:latin typeface="Gill Sans MT"/>
              </a:defRPr>
            </a:pPr>
            <a:endParaRPr lang="en-US"/>
          </a:p>
        </c:txPr>
        <c:crossAx val="202531584"/>
        <c:crosses val="autoZero"/>
        <c:auto val="1"/>
        <c:lblAlgn val="ctr"/>
        <c:lblOffset val="100"/>
        <c:noMultiLvlLbl val="1"/>
      </c:catAx>
      <c:valAx>
        <c:axId val="202531584"/>
        <c:scaling>
          <c:orientation val="minMax"/>
        </c:scaling>
        <c:delete val="1"/>
        <c:axPos val="l"/>
        <c:numFmt formatCode="0%" sourceLinked="1"/>
        <c:majorTickMark val="none"/>
        <c:minorTickMark val="cross"/>
        <c:tickLblPos val="nextTo"/>
        <c:crossAx val="202513408"/>
        <c:crosses val="autoZero"/>
        <c:crossBetween val="between"/>
      </c:valAx>
    </c:plotArea>
    <c:legend>
      <c:legendPos val="t"/>
      <c:layout/>
      <c:overlay val="1"/>
      <c:txPr>
        <a:bodyPr/>
        <a:lstStyle/>
        <a:p>
          <a:pPr>
            <a:defRPr sz="1000">
              <a:latin typeface="Gill Sans MT"/>
            </a:defRPr>
          </a:pPr>
          <a:endParaRPr lang="en-US"/>
        </a:p>
      </c:txPr>
    </c:legend>
    <c:plotVisOnly val="1"/>
    <c:dispBlanksAs val="gap"/>
    <c:showDLblsOverMax val="1"/>
  </c:chart>
  <c:spPr>
    <a:ln>
      <a:noFill/>
    </a:ln>
  </c:spPr>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1.4785147048926601E-2"/>
          <c:y val="4.4570756780402503E-2"/>
          <c:w val="0.97616792374637396"/>
          <c:h val="0.92973479877515297"/>
        </c:manualLayout>
      </c:layout>
      <c:barChart>
        <c:barDir val="bar"/>
        <c:grouping val="stacked"/>
        <c:varyColors val="1"/>
        <c:ser>
          <c:idx val="0"/>
          <c:order val="0"/>
          <c:spPr>
            <a:solidFill>
              <a:srgbClr val="3090C4"/>
            </a:solidFill>
          </c:spPr>
          <c:invertIfNegative val="1"/>
          <c:dLbls>
            <c:txPr>
              <a:bodyPr/>
              <a:lstStyle/>
              <a:p>
                <a:pPr>
                  <a:defRPr sz="1000">
                    <a:solidFill>
                      <a:srgbClr val="FFFFFF"/>
                    </a:solidFill>
                    <a:latin typeface="Gill Sans MT"/>
                    <a:cs typeface="Gill Sans MT"/>
                  </a:defRPr>
                </a:pPr>
                <a:endParaRPr lang="en-US"/>
              </a:p>
            </c:txPr>
            <c:dLblPos val="ctr"/>
            <c:showLegendKey val="0"/>
            <c:showVal val="1"/>
            <c:showCatName val="0"/>
            <c:showSerName val="0"/>
            <c:showPercent val="1"/>
            <c:showBubbleSize val="1"/>
            <c:showLeaderLines val="0"/>
          </c:dLbls>
          <c:cat>
            <c:strRef>
              <c:f>'[Final set of graphs LEP section_ed.xlsx]data_demog_DC'!$A$8</c:f>
              <c:strCache>
                <c:ptCount val="1"/>
                <c:pt idx="0">
                  <c:v>Citizenship</c:v>
                </c:pt>
              </c:strCache>
            </c:strRef>
          </c:cat>
          <c:val>
            <c:numRef>
              <c:f>('[Final set of graphs LEP section_ed.xlsx]data_demog_DC'!$B$2,'[Final set of graphs LEP section_ed.xlsx]data_demog_DC'!$B$5,'[Final set of graphs LEP section_ed.xlsx]data_demog_DC'!$B$8)</c:f>
              <c:numCache>
                <c:formatCode>0.0%</c:formatCode>
                <c:ptCount val="3"/>
                <c:pt idx="0">
                  <c:v>0.49130000000000001</c:v>
                </c:pt>
                <c:pt idx="1">
                  <c:v>6.9199999999999998E-2</c:v>
                </c:pt>
                <c:pt idx="2">
                  <c:v>0.39600000000000002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spPr>
            <a:solidFill>
              <a:schemeClr val="tx2">
                <a:lumMod val="40000"/>
                <a:lumOff val="60000"/>
              </a:schemeClr>
            </a:solidFill>
          </c:spPr>
          <c:invertIfNegative val="0"/>
          <c:dLbls>
            <c:showLegendKey val="0"/>
            <c:showVal val="1"/>
            <c:showCatName val="0"/>
            <c:showSerName val="0"/>
            <c:showPercent val="0"/>
            <c:showBubbleSize val="0"/>
            <c:showLeaderLines val="0"/>
          </c:dLbls>
          <c:cat>
            <c:strRef>
              <c:f>'[Final set of graphs LEP section_ed.xlsx]data_demog_DC'!$A$8</c:f>
              <c:strCache>
                <c:ptCount val="1"/>
                <c:pt idx="0">
                  <c:v>Citizenship</c:v>
                </c:pt>
              </c:strCache>
            </c:strRef>
          </c:cat>
          <c:val>
            <c:numRef>
              <c:f>('[Final set of graphs LEP section_ed.xlsx]data_demog_DC'!$C$2,'[Final set of graphs LEP section_ed.xlsx]data_demog_DC'!$C$5,'[Final set of graphs LEP section_ed.xlsx]data_demog_DC'!$C$8)</c:f>
              <c:numCache>
                <c:formatCode>0.0%</c:formatCode>
                <c:ptCount val="3"/>
                <c:pt idx="0">
                  <c:v>0.50869999999999993</c:v>
                </c:pt>
                <c:pt idx="1">
                  <c:v>0.83739999999999992</c:v>
                </c:pt>
                <c:pt idx="2">
                  <c:v>0.60399999999999998</c:v>
                </c:pt>
              </c:numCache>
            </c:numRef>
          </c:val>
        </c:ser>
        <c:ser>
          <c:idx val="2"/>
          <c:order val="2"/>
          <c:spPr>
            <a:solidFill>
              <a:schemeClr val="bg1">
                <a:lumMod val="50000"/>
              </a:schemeClr>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'[Final set of graphs LEP section_ed.xlsx]data_demog_DC'!$A$8</c:f>
              <c:strCache>
                <c:ptCount val="1"/>
                <c:pt idx="0">
                  <c:v>Citizenship</c:v>
                </c:pt>
              </c:strCache>
            </c:strRef>
          </c:cat>
          <c:val>
            <c:numRef>
              <c:f>('[Final set of graphs LEP section_ed.xlsx]data_demog_DC'!$D$2,'[Final set of graphs LEP section_ed.xlsx]data_demog_DC'!$D$5,'[Final set of graphs LEP section_ed.xlsx]data_demog_DC'!$D$8)</c:f>
              <c:numCache>
                <c:formatCode>0.0%</c:formatCode>
                <c:ptCount val="3"/>
                <c:pt idx="1">
                  <c:v>9.3399999999999997E-2</c:v>
                </c:pt>
              </c:numCache>
            </c:numRef>
          </c:val>
        </c:ser>
        <c:dLbls>
          <c:showLegendKey val="0"/>
          <c:showVal val="0"/>
          <c:showCatName val="0"/>
          <c:showSerName val="0"/>
          <c:showPercent val="0"/>
          <c:showBubbleSize val="0"/>
        </c:dLbls>
        <c:gapWidth val="80"/>
        <c:overlap val="100"/>
        <c:axId val="202585984"/>
        <c:axId val="202587520"/>
      </c:barChart>
      <c:catAx>
        <c:axId val="202585984"/>
        <c:scaling>
          <c:orientation val="minMax"/>
        </c:scaling>
        <c:delete val="1"/>
        <c:axPos val="l"/>
        <c:numFmt formatCode="General" sourceLinked="1"/>
        <c:majorTickMark val="none"/>
        <c:minorTickMark val="cross"/>
        <c:tickLblPos val="nextTo"/>
        <c:crossAx val="202587520"/>
        <c:crosses val="autoZero"/>
        <c:auto val="1"/>
        <c:lblAlgn val="ctr"/>
        <c:lblOffset val="100"/>
        <c:noMultiLvlLbl val="1"/>
      </c:catAx>
      <c:valAx>
        <c:axId val="202587520"/>
        <c:scaling>
          <c:orientation val="minMax"/>
          <c:max val="1"/>
        </c:scaling>
        <c:delete val="1"/>
        <c:axPos val="b"/>
        <c:numFmt formatCode="0%" sourceLinked="0"/>
        <c:majorTickMark val="cross"/>
        <c:minorTickMark val="cross"/>
        <c:tickLblPos val="nextTo"/>
        <c:crossAx val="202585984"/>
        <c:crosses val="autoZero"/>
        <c:crossBetween val="between"/>
      </c:valAx>
    </c:plotArea>
    <c:plotVisOnly val="1"/>
    <c:dispBlanksAs val="gap"/>
    <c:showDLblsOverMax val="1"/>
  </c:chart>
  <c:spPr>
    <a:noFill/>
    <a:ln>
      <a:noFill/>
    </a:ln>
  </c:spPr>
  <c:externalData r:id="rId1">
    <c:autoUpdate val="1"/>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1.61265429159398E-2"/>
          <c:y val="4.9779210190804002E-2"/>
          <c:w val="0.978727370617134"/>
          <c:h val="0.950220789809196"/>
        </c:manualLayout>
      </c:layout>
      <c:barChart>
        <c:barDir val="bar"/>
        <c:grouping val="stacked"/>
        <c:varyColors val="1"/>
        <c:ser>
          <c:idx val="0"/>
          <c:order val="0"/>
          <c:spPr>
            <a:solidFill>
              <a:srgbClr val="3090C4"/>
            </a:solidFill>
          </c:spPr>
          <c:invertIfNegative val="1"/>
          <c:dLbls>
            <c:txPr>
              <a:bodyPr/>
              <a:lstStyle/>
              <a:p>
                <a:pPr>
                  <a:defRPr sz="1000">
                    <a:latin typeface="Gill Sans MT"/>
                    <a:cs typeface="Gill Sans MT"/>
                  </a:defRPr>
                </a:pPr>
                <a:endParaRPr lang="en-US"/>
              </a:p>
            </c:txPr>
            <c:dLblPos val="ctr"/>
            <c:showLegendKey val="0"/>
            <c:showVal val="1"/>
            <c:showCatName val="0"/>
            <c:showSerName val="0"/>
            <c:showPercent val="1"/>
            <c:showBubbleSize val="1"/>
            <c:showLeaderLines val="0"/>
          </c:dLbls>
          <c:val>
            <c:numRef>
              <c:f>('[Final set of graphs LEP section_ed.xlsx]data_demog_DC'!$B$12,'[Final set of graphs LEP section_ed.xlsx]data_demog_DC'!$B$14,'[Final set of graphs LEP section_ed.xlsx]data_demog_DC'!$B$16,'[Final set of graphs LEP section_ed.xlsx]data_demog_DC'!$B$18)</c:f>
              <c:numCache>
                <c:formatCode>0.0%</c:formatCode>
                <c:ptCount val="4"/>
                <c:pt idx="0">
                  <c:v>0.2384</c:v>
                </c:pt>
                <c:pt idx="1">
                  <c:v>0.41409999999999997</c:v>
                </c:pt>
                <c:pt idx="2">
                  <c:v>0.66859999999999997</c:v>
                </c:pt>
                <c:pt idx="3">
                  <c:v>0.54849999999999999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spPr>
            <a:solidFill>
              <a:srgbClr val="96C9E6"/>
            </a:solidFill>
          </c:spPr>
          <c:invertIfNegative val="1"/>
          <c:dLbls>
            <c:txPr>
              <a:bodyPr/>
              <a:lstStyle/>
              <a:p>
                <a:pPr>
                  <a:defRPr sz="1000">
                    <a:latin typeface="Gill Sans MT"/>
                    <a:cs typeface="Gill Sans MT"/>
                  </a:defRPr>
                </a:pPr>
                <a:endParaRPr lang="en-US"/>
              </a:p>
            </c:txPr>
            <c:dLblPos val="ctr"/>
            <c:showLegendKey val="0"/>
            <c:showVal val="1"/>
            <c:showCatName val="0"/>
            <c:showSerName val="0"/>
            <c:showPercent val="1"/>
            <c:showBubbleSize val="1"/>
            <c:showLeaderLines val="0"/>
          </c:dLbls>
          <c:val>
            <c:numRef>
              <c:f>('[Final set of graphs LEP section_ed.xlsx]data_demog_DC'!$C$12,'[Final set of graphs LEP section_ed.xlsx]data_demog_DC'!$C$14,'[Final set of graphs LEP section_ed.xlsx]data_demog_DC'!$C$16,'[Final set of graphs LEP section_ed.xlsx]data_demog_DC'!$C$18)</c:f>
              <c:numCache>
                <c:formatCode>0.0%</c:formatCode>
                <c:ptCount val="4"/>
                <c:pt idx="0">
                  <c:v>0.23949999999999999</c:v>
                </c:pt>
                <c:pt idx="1">
                  <c:v>0.58590000000000009</c:v>
                </c:pt>
                <c:pt idx="2">
                  <c:v>0.33140000000000003</c:v>
                </c:pt>
                <c:pt idx="3">
                  <c:v>0.21109999999999998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spPr>
            <a:solidFill>
              <a:srgbClr val="7F7F7F"/>
            </a:solidFill>
          </c:spPr>
          <c:invertIfNegative val="1"/>
          <c:dLbls>
            <c:txPr>
              <a:bodyPr/>
              <a:lstStyle/>
              <a:p>
                <a:pPr>
                  <a:defRPr sz="1000">
                    <a:solidFill>
                      <a:schemeClr val="bg1"/>
                    </a:solidFill>
                    <a:latin typeface="Gill Sans MT"/>
                    <a:cs typeface="Gill Sans MT"/>
                  </a:defRPr>
                </a:pPr>
                <a:endParaRPr lang="en-US"/>
              </a:p>
            </c:txPr>
            <c:dLblPos val="ctr"/>
            <c:showLegendKey val="0"/>
            <c:showVal val="1"/>
            <c:showCatName val="0"/>
            <c:showSerName val="0"/>
            <c:showPercent val="1"/>
            <c:showBubbleSize val="1"/>
            <c:showLeaderLines val="0"/>
          </c:dLbls>
          <c:val>
            <c:numRef>
              <c:f>('[Final set of graphs LEP section_ed.xlsx]data_demog_DC'!$D$12,'[Final set of graphs LEP section_ed.xlsx]data_demog_DC'!$D$14,'[Final set of graphs LEP section_ed.xlsx]data_demog_DC'!$D$16,'[Final set of graphs LEP section_ed.xlsx]data_demog_DC'!$D$18)</c:f>
              <c:numCache>
                <c:formatCode>0.0%</c:formatCode>
                <c:ptCount val="4"/>
                <c:pt idx="0">
                  <c:v>0.52210000000000001</c:v>
                </c:pt>
                <c:pt idx="3">
                  <c:v>0.14980000000000002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spPr>
            <a:solidFill>
              <a:srgbClr val="D9D9D9"/>
            </a:solidFill>
          </c:spPr>
          <c:invertIfNegative val="1"/>
          <c:dLbls>
            <c:txPr>
              <a:bodyPr/>
              <a:lstStyle/>
              <a:p>
                <a:pPr>
                  <a:defRPr sz="1000">
                    <a:latin typeface="Gill Sans MT"/>
                    <a:cs typeface="Gill Sans MT"/>
                  </a:defRPr>
                </a:pPr>
                <a:endParaRPr lang="en-US"/>
              </a:p>
            </c:txPr>
            <c:dLblPos val="ctr"/>
            <c:showLegendKey val="0"/>
            <c:showVal val="1"/>
            <c:showCatName val="0"/>
            <c:showSerName val="0"/>
            <c:showPercent val="1"/>
            <c:showBubbleSize val="1"/>
            <c:showLeaderLines val="0"/>
          </c:dLbls>
          <c:val>
            <c:numRef>
              <c:f>('[Final set of graphs LEP section_ed.xlsx]data_demog_DC'!$E$12,'[Final set of graphs LEP section_ed.xlsx]data_demog_DC'!$E$14,'[Final set of graphs LEP section_ed.xlsx]data_demog_DC'!$E$16,'[Final set of graphs LEP section_ed.xlsx]data_demog_DC'!$E$18)</c:f>
              <c:numCache>
                <c:formatCode>General</c:formatCode>
                <c:ptCount val="4"/>
                <c:pt idx="3" formatCode="0.0%">
                  <c:v>9.0700000000000003E-2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80"/>
        <c:overlap val="100"/>
        <c:axId val="203690368"/>
        <c:axId val="203691904"/>
      </c:barChart>
      <c:catAx>
        <c:axId val="203690368"/>
        <c:scaling>
          <c:orientation val="minMax"/>
        </c:scaling>
        <c:delete val="1"/>
        <c:axPos val="l"/>
        <c:majorTickMark val="cross"/>
        <c:minorTickMark val="cross"/>
        <c:tickLblPos val="nextTo"/>
        <c:crossAx val="203691904"/>
        <c:crosses val="autoZero"/>
        <c:auto val="1"/>
        <c:lblAlgn val="ctr"/>
        <c:lblOffset val="100"/>
        <c:noMultiLvlLbl val="1"/>
      </c:catAx>
      <c:valAx>
        <c:axId val="203691904"/>
        <c:scaling>
          <c:orientation val="minMax"/>
          <c:max val="1"/>
        </c:scaling>
        <c:delete val="1"/>
        <c:axPos val="b"/>
        <c:numFmt formatCode="0.0%" sourceLinked="1"/>
        <c:majorTickMark val="cross"/>
        <c:minorTickMark val="cross"/>
        <c:tickLblPos val="nextTo"/>
        <c:crossAx val="203690368"/>
        <c:crosses val="autoZero"/>
        <c:crossBetween val="between"/>
      </c:valAx>
    </c:plotArea>
    <c:plotVisOnly val="1"/>
    <c:dispBlanksAs val="gap"/>
    <c:showDLblsOverMax val="1"/>
  </c:chart>
  <c:spPr>
    <a:ln>
      <a:noFill/>
    </a:ln>
  </c:spPr>
  <c:externalData r:id="rId1">
    <c:autoUpdate val="1"/>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8.1534255333467906E-2"/>
          <c:y val="0.13167335700684499"/>
          <c:w val="0.90055841577495099"/>
          <c:h val="0.76593330245484004"/>
        </c:manualLayout>
      </c:layout>
      <c:barChart>
        <c:barDir val="col"/>
        <c:grouping val="percentStacked"/>
        <c:varyColors val="1"/>
        <c:ser>
          <c:idx val="0"/>
          <c:order val="0"/>
          <c:tx>
            <c:strRef>
              <c:f>'[Final set of graphs LEP section_ed.xlsx]data poverty by lang dc'!$C$4</c:f>
              <c:strCache>
                <c:ptCount val="1"/>
                <c:pt idx="0">
                  <c:v>Poor: below federal poverty level</c:v>
                </c:pt>
              </c:strCache>
            </c:strRef>
          </c:tx>
          <c:spPr>
            <a:solidFill>
              <a:srgbClr val="3090C4"/>
            </a:solidFill>
          </c:spPr>
          <c:invertIfNegative val="1"/>
          <c:dLbls>
            <c:numFmt formatCode="0.0%" sourceLinked="0"/>
            <c:txPr>
              <a:bodyPr/>
              <a:lstStyle/>
              <a:p>
                <a:pPr>
                  <a:defRPr sz="1000">
                    <a:solidFill>
                      <a:srgbClr val="FFFFFF"/>
                    </a:solidFill>
                    <a:latin typeface="Gill Sans MT"/>
                    <a:cs typeface="Gill Sans MT"/>
                  </a:defRPr>
                </a:pPr>
                <a:endParaRPr lang="en-US"/>
              </a:p>
            </c:txPr>
            <c:showLegendKey val="0"/>
            <c:showVal val="1"/>
            <c:showCatName val="0"/>
            <c:showSerName val="0"/>
            <c:showPercent val="1"/>
            <c:showBubbleSize val="1"/>
            <c:showLeaderLines val="0"/>
          </c:dLbls>
          <c:cat>
            <c:multiLvlStrRef>
              <c:f>'[Final set of graphs LEP section_ed.xlsx]data poverty by lang dc'!$A$5:$B$11</c:f>
              <c:multiLvlStrCache>
                <c:ptCount val="7"/>
                <c:lvl>
                  <c:pt idx="0">
                    <c:v>All languages</c:v>
                  </c:pt>
                  <c:pt idx="1">
                    <c:v>Spanish</c:v>
                  </c:pt>
                  <c:pt idx="2">
                    <c:v>Chinese</c:v>
                  </c:pt>
                  <c:pt idx="3">
                    <c:v>Korean</c:v>
                  </c:pt>
                  <c:pt idx="4">
                    <c:v>Vietnamese</c:v>
                  </c:pt>
                  <c:pt idx="5">
                    <c:v>Amharic /Ethiopian</c:v>
                  </c:pt>
                  <c:pt idx="6">
                    <c:v>French</c:v>
                  </c:pt>
                </c:lvl>
                <c:lvl>
                  <c:pt idx="0">
                    <c:v>(N=97,190)</c:v>
                  </c:pt>
                  <c:pt idx="1">
                    <c:v>(N=47,453)</c:v>
                  </c:pt>
                  <c:pt idx="2">
                    <c:v>(N=6,649)</c:v>
                  </c:pt>
                  <c:pt idx="3">
                    <c:v>(N=6,325)</c:v>
                  </c:pt>
                  <c:pt idx="4">
                    <c:v>(N=4,571)</c:v>
                  </c:pt>
                  <c:pt idx="5">
                    <c:v>(N=4,093)</c:v>
                  </c:pt>
                  <c:pt idx="6">
                    <c:v>(N=3,677)</c:v>
                  </c:pt>
                </c:lvl>
              </c:multiLvlStrCache>
            </c:multiLvlStrRef>
          </c:cat>
          <c:val>
            <c:numRef>
              <c:f>'[Final set of graphs LEP section_ed.xlsx]data poverty by lang dc'!$C$5:$C$11</c:f>
              <c:numCache>
                <c:formatCode>0.0%</c:formatCode>
                <c:ptCount val="7"/>
                <c:pt idx="0">
                  <c:v>0.14599999999999999</c:v>
                </c:pt>
                <c:pt idx="1">
                  <c:v>0.1555</c:v>
                </c:pt>
                <c:pt idx="2">
                  <c:v>0.13789999999999999</c:v>
                </c:pt>
                <c:pt idx="3">
                  <c:v>0.2278</c:v>
                </c:pt>
                <c:pt idx="4">
                  <c:v>7.3499999999999996E-2</c:v>
                </c:pt>
                <c:pt idx="5">
                  <c:v>0.16589999999999999</c:v>
                </c:pt>
                <c:pt idx="6">
                  <c:v>0.1583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'[Final set of graphs LEP section_ed.xlsx]data poverty by lang dc'!$D$4</c:f>
              <c:strCache>
                <c:ptCount val="1"/>
                <c:pt idx="0">
                  <c:v>Low-income: 100–199% of federal poverty level</c:v>
                </c:pt>
              </c:strCache>
            </c:strRef>
          </c:tx>
          <c:spPr>
            <a:solidFill>
              <a:srgbClr val="96C9E6"/>
            </a:solidFill>
          </c:spPr>
          <c:invertIfNegative val="1"/>
          <c:dLbls>
            <c:txPr>
              <a:bodyPr/>
              <a:lstStyle/>
              <a:p>
                <a:pPr>
                  <a:defRPr sz="1000">
                    <a:latin typeface="Gill Sans MT"/>
                    <a:cs typeface="Gill Sans MT"/>
                  </a:defRPr>
                </a:pPr>
                <a:endParaRPr lang="en-US"/>
              </a:p>
            </c:txPr>
            <c:showLegendKey val="0"/>
            <c:showVal val="1"/>
            <c:showCatName val="0"/>
            <c:showSerName val="0"/>
            <c:showPercent val="1"/>
            <c:showBubbleSize val="1"/>
            <c:showLeaderLines val="0"/>
          </c:dLbls>
          <c:cat>
            <c:multiLvlStrRef>
              <c:f>'[Final set of graphs LEP section_ed.xlsx]data poverty by lang dc'!$A$5:$B$11</c:f>
              <c:multiLvlStrCache>
                <c:ptCount val="7"/>
                <c:lvl>
                  <c:pt idx="0">
                    <c:v>All languages</c:v>
                  </c:pt>
                  <c:pt idx="1">
                    <c:v>Spanish</c:v>
                  </c:pt>
                  <c:pt idx="2">
                    <c:v>Chinese</c:v>
                  </c:pt>
                  <c:pt idx="3">
                    <c:v>Korean</c:v>
                  </c:pt>
                  <c:pt idx="4">
                    <c:v>Vietnamese</c:v>
                  </c:pt>
                  <c:pt idx="5">
                    <c:v>Amharic /Ethiopian</c:v>
                  </c:pt>
                  <c:pt idx="6">
                    <c:v>French</c:v>
                  </c:pt>
                </c:lvl>
                <c:lvl>
                  <c:pt idx="0">
                    <c:v>(N=97,190)</c:v>
                  </c:pt>
                  <c:pt idx="1">
                    <c:v>(N=47,453)</c:v>
                  </c:pt>
                  <c:pt idx="2">
                    <c:v>(N=6,649)</c:v>
                  </c:pt>
                  <c:pt idx="3">
                    <c:v>(N=6,325)</c:v>
                  </c:pt>
                  <c:pt idx="4">
                    <c:v>(N=4,571)</c:v>
                  </c:pt>
                  <c:pt idx="5">
                    <c:v>(N=4,093)</c:v>
                  </c:pt>
                  <c:pt idx="6">
                    <c:v>(N=3,677)</c:v>
                  </c:pt>
                </c:lvl>
              </c:multiLvlStrCache>
            </c:multiLvlStrRef>
          </c:cat>
          <c:val>
            <c:numRef>
              <c:f>'[Final set of graphs LEP section_ed.xlsx]data poverty by lang dc'!$D$5:$D$11</c:f>
              <c:numCache>
                <c:formatCode>0.0%</c:formatCode>
                <c:ptCount val="7"/>
                <c:pt idx="0">
                  <c:v>0.24129999999999999</c:v>
                </c:pt>
                <c:pt idx="1">
                  <c:v>0.30220000000000002</c:v>
                </c:pt>
                <c:pt idx="2">
                  <c:v>0.13370000000000001</c:v>
                </c:pt>
                <c:pt idx="3">
                  <c:v>0.11890000000000001</c:v>
                </c:pt>
                <c:pt idx="4">
                  <c:v>0.2155</c:v>
                </c:pt>
                <c:pt idx="5">
                  <c:v>0.27189999999999998</c:v>
                </c:pt>
                <c:pt idx="6">
                  <c:v>0.20180000000000001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'[Final set of graphs LEP section_ed.xlsx]data poverty by lang dc'!$E$4</c:f>
              <c:strCache>
                <c:ptCount val="1"/>
                <c:pt idx="0">
                  <c:v>At least 200% of  federal poverty level</c:v>
                </c:pt>
              </c:strCache>
            </c:strRef>
          </c:tx>
          <c:spPr>
            <a:solidFill>
              <a:srgbClr val="7F7F7F"/>
            </a:solidFill>
          </c:spPr>
          <c:invertIfNegative val="1"/>
          <c:dLbls>
            <c:txPr>
              <a:bodyPr/>
              <a:lstStyle/>
              <a:p>
                <a:pPr>
                  <a:defRPr sz="1000">
                    <a:solidFill>
                      <a:schemeClr val="bg1"/>
                    </a:solidFill>
                    <a:latin typeface="Gill Sans MT"/>
                    <a:cs typeface="Gill Sans MT"/>
                  </a:defRPr>
                </a:pPr>
                <a:endParaRPr lang="en-US"/>
              </a:p>
            </c:txPr>
            <c:showLegendKey val="0"/>
            <c:showVal val="1"/>
            <c:showCatName val="0"/>
            <c:showSerName val="0"/>
            <c:showPercent val="1"/>
            <c:showBubbleSize val="1"/>
            <c:showLeaderLines val="0"/>
          </c:dLbls>
          <c:cat>
            <c:multiLvlStrRef>
              <c:f>'[Final set of graphs LEP section_ed.xlsx]data poverty by lang dc'!$A$5:$B$11</c:f>
              <c:multiLvlStrCache>
                <c:ptCount val="7"/>
                <c:lvl>
                  <c:pt idx="0">
                    <c:v>All languages</c:v>
                  </c:pt>
                  <c:pt idx="1">
                    <c:v>Spanish</c:v>
                  </c:pt>
                  <c:pt idx="2">
                    <c:v>Chinese</c:v>
                  </c:pt>
                  <c:pt idx="3">
                    <c:v>Korean</c:v>
                  </c:pt>
                  <c:pt idx="4">
                    <c:v>Vietnamese</c:v>
                  </c:pt>
                  <c:pt idx="5">
                    <c:v>Amharic /Ethiopian</c:v>
                  </c:pt>
                  <c:pt idx="6">
                    <c:v>French</c:v>
                  </c:pt>
                </c:lvl>
                <c:lvl>
                  <c:pt idx="0">
                    <c:v>(N=97,190)</c:v>
                  </c:pt>
                  <c:pt idx="1">
                    <c:v>(N=47,453)</c:v>
                  </c:pt>
                  <c:pt idx="2">
                    <c:v>(N=6,649)</c:v>
                  </c:pt>
                  <c:pt idx="3">
                    <c:v>(N=6,325)</c:v>
                  </c:pt>
                  <c:pt idx="4">
                    <c:v>(N=4,571)</c:v>
                  </c:pt>
                  <c:pt idx="5">
                    <c:v>(N=4,093)</c:v>
                  </c:pt>
                  <c:pt idx="6">
                    <c:v>(N=3,677)</c:v>
                  </c:pt>
                </c:lvl>
              </c:multiLvlStrCache>
            </c:multiLvlStrRef>
          </c:cat>
          <c:val>
            <c:numRef>
              <c:f>'[Final set of graphs LEP section_ed.xlsx]data poverty by lang dc'!$E$5:$E$11</c:f>
              <c:numCache>
                <c:formatCode>0.0%</c:formatCode>
                <c:ptCount val="7"/>
                <c:pt idx="0">
                  <c:v>0.61270000000000002</c:v>
                </c:pt>
                <c:pt idx="1">
                  <c:v>0.5423</c:v>
                </c:pt>
                <c:pt idx="2">
                  <c:v>0.72840000000000005</c:v>
                </c:pt>
                <c:pt idx="3">
                  <c:v>0.65329999999999999</c:v>
                </c:pt>
                <c:pt idx="4">
                  <c:v>0.71099999999999997</c:v>
                </c:pt>
                <c:pt idx="5">
                  <c:v>0.56220000000000003</c:v>
                </c:pt>
                <c:pt idx="6">
                  <c:v>0.63990000000000002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40"/>
        <c:overlap val="100"/>
        <c:axId val="203747712"/>
        <c:axId val="203749248"/>
      </c:barChart>
      <c:catAx>
        <c:axId val="203747712"/>
        <c:scaling>
          <c:orientation val="minMax"/>
        </c:scaling>
        <c:delete val="0"/>
        <c:axPos val="b"/>
        <c:majorTickMark val="none"/>
        <c:minorTickMark val="none"/>
        <c:tickLblPos val="nextTo"/>
        <c:spPr>
          <a:ln>
            <a:solidFill>
              <a:schemeClr val="bg1">
                <a:lumMod val="65000"/>
              </a:schemeClr>
            </a:solidFill>
          </a:ln>
        </c:spPr>
        <c:txPr>
          <a:bodyPr/>
          <a:lstStyle/>
          <a:p>
            <a:pPr>
              <a:defRPr sz="800">
                <a:latin typeface="Gill Sans MT"/>
                <a:cs typeface="Gill Sans MT"/>
              </a:defRPr>
            </a:pPr>
            <a:endParaRPr lang="en-US"/>
          </a:p>
        </c:txPr>
        <c:crossAx val="203749248"/>
        <c:crosses val="autoZero"/>
        <c:auto val="1"/>
        <c:lblAlgn val="ctr"/>
        <c:lblOffset val="100"/>
        <c:noMultiLvlLbl val="1"/>
      </c:catAx>
      <c:valAx>
        <c:axId val="203749248"/>
        <c:scaling>
          <c:orientation val="minMax"/>
        </c:scaling>
        <c:delete val="1"/>
        <c:axPos val="l"/>
        <c:numFmt formatCode="0%" sourceLinked="1"/>
        <c:majorTickMark val="none"/>
        <c:minorTickMark val="cross"/>
        <c:tickLblPos val="nextTo"/>
        <c:crossAx val="203747712"/>
        <c:crosses val="autoZero"/>
        <c:crossBetween val="between"/>
      </c:valAx>
    </c:plotArea>
    <c:legend>
      <c:legendPos val="t"/>
      <c:layout>
        <c:manualLayout>
          <c:xMode val="edge"/>
          <c:yMode val="edge"/>
          <c:x val="3.1879951669275097E-2"/>
          <c:y val="0"/>
          <c:w val="0.95882011401509903"/>
          <c:h val="9.1333436261643794E-2"/>
        </c:manualLayout>
      </c:layout>
      <c:overlay val="1"/>
      <c:txPr>
        <a:bodyPr/>
        <a:lstStyle/>
        <a:p>
          <a:pPr>
            <a:defRPr sz="1000">
              <a:latin typeface="Gill Sans MT"/>
              <a:cs typeface="Gill Sans MT"/>
            </a:defRPr>
          </a:pPr>
          <a:endParaRPr lang="en-US"/>
        </a:p>
      </c:txPr>
    </c:legend>
    <c:plotVisOnly val="1"/>
    <c:dispBlanksAs val="gap"/>
    <c:showDLblsOverMax val="1"/>
  </c:chart>
  <c:spPr>
    <a:ln>
      <a:noFill/>
    </a:ln>
  </c:spPr>
  <c:txPr>
    <a:bodyPr/>
    <a:lstStyle/>
    <a:p>
      <a:pPr>
        <a:defRPr sz="1400"/>
      </a:pPr>
      <a:endParaRPr lang="en-US"/>
    </a:p>
  </c:txPr>
  <c:externalData r:id="rId1">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8.3670974913242199E-2"/>
          <c:y val="0.128670198009639"/>
          <c:w val="0.89091543023126096"/>
          <c:h val="0.71945792011906295"/>
        </c:manualLayout>
      </c:layout>
      <c:barChart>
        <c:barDir val="col"/>
        <c:grouping val="stacked"/>
        <c:varyColors val="1"/>
        <c:ser>
          <c:idx val="0"/>
          <c:order val="0"/>
          <c:tx>
            <c:strRef>
              <c:f>'[Final set of graphs LEP section_ed.xlsx]data langbylingisol'!$C$1</c:f>
              <c:strCache>
                <c:ptCount val="1"/>
                <c:pt idx="0">
                  <c:v>Not linguistically isolated</c:v>
                </c:pt>
              </c:strCache>
            </c:strRef>
          </c:tx>
          <c:spPr>
            <a:solidFill>
              <a:srgbClr val="96C9E6"/>
            </a:solidFill>
          </c:spPr>
          <c:invertIfNegative val="1"/>
          <c:dLbls>
            <c:numFmt formatCode="0.0%" sourceLinked="0"/>
            <c:txPr>
              <a:bodyPr/>
              <a:lstStyle/>
              <a:p>
                <a:pPr>
                  <a:defRPr sz="1000">
                    <a:latin typeface="Gill Sans MT"/>
                    <a:cs typeface="Gill Sans MT"/>
                  </a:defRPr>
                </a:pPr>
                <a:endParaRPr lang="en-US"/>
              </a:p>
            </c:txPr>
            <c:dLblPos val="ctr"/>
            <c:showLegendKey val="0"/>
            <c:showVal val="1"/>
            <c:showCatName val="0"/>
            <c:showSerName val="0"/>
            <c:showPercent val="1"/>
            <c:showBubbleSize val="1"/>
            <c:showLeaderLines val="0"/>
          </c:dLbls>
          <c:cat>
            <c:multiLvlStrRef>
              <c:f>'[Final set of graphs LEP section_ed.xlsx]data langbylingisol'!$A$2:$B$8</c:f>
              <c:multiLvlStrCache>
                <c:ptCount val="7"/>
                <c:lvl>
                  <c:pt idx="0">
                    <c:v>All languages</c:v>
                  </c:pt>
                  <c:pt idx="1">
                    <c:v>Spanish</c:v>
                  </c:pt>
                  <c:pt idx="2">
                    <c:v>Chinese</c:v>
                  </c:pt>
                  <c:pt idx="3">
                    <c:v>Korean</c:v>
                  </c:pt>
                  <c:pt idx="4">
                    <c:v>Vietnamese</c:v>
                  </c:pt>
                  <c:pt idx="5">
                    <c:v>Amharic / Ethiopian</c:v>
                  </c:pt>
                  <c:pt idx="6">
                    <c:v>French</c:v>
                  </c:pt>
                </c:lvl>
                <c:lvl>
                  <c:pt idx="0">
                    <c:v>(N=97,190)</c:v>
                  </c:pt>
                  <c:pt idx="1">
                    <c:v>(N=47,453)</c:v>
                  </c:pt>
                  <c:pt idx="2">
                    <c:v>(N=6,649)</c:v>
                  </c:pt>
                  <c:pt idx="3">
                    <c:v>(N=6,325)</c:v>
                  </c:pt>
                  <c:pt idx="4">
                    <c:v>(N=4,571)</c:v>
                  </c:pt>
                  <c:pt idx="5">
                    <c:v>(N=4,093)</c:v>
                  </c:pt>
                  <c:pt idx="6">
                    <c:v>(N=3,677)</c:v>
                  </c:pt>
                </c:lvl>
              </c:multiLvlStrCache>
            </c:multiLvlStrRef>
          </c:cat>
          <c:val>
            <c:numRef>
              <c:f>'[Final set of graphs LEP section_ed.xlsx]data langbylingisol'!$C$2:$C$8</c:f>
              <c:numCache>
                <c:formatCode>0.0%</c:formatCode>
                <c:ptCount val="7"/>
                <c:pt idx="0">
                  <c:v>0.4335</c:v>
                </c:pt>
                <c:pt idx="1">
                  <c:v>0.4602</c:v>
                </c:pt>
                <c:pt idx="2">
                  <c:v>0.29320000000000002</c:v>
                </c:pt>
                <c:pt idx="3">
                  <c:v>0.3775</c:v>
                </c:pt>
                <c:pt idx="4">
                  <c:v>0.44500000000000001</c:v>
                </c:pt>
                <c:pt idx="5">
                  <c:v>0.47220000000000001</c:v>
                </c:pt>
                <c:pt idx="6">
                  <c:v>0.43359999999999999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'[Final set of graphs LEP section_ed.xlsx]data langbylingisol'!$D$1</c:f>
              <c:strCache>
                <c:ptCount val="1"/>
                <c:pt idx="0">
                  <c:v>Linguistically isolated</c:v>
                </c:pt>
              </c:strCache>
            </c:strRef>
          </c:tx>
          <c:spPr>
            <a:solidFill>
              <a:srgbClr val="3090C4"/>
            </a:solidFill>
          </c:spPr>
          <c:invertIfNegative val="1"/>
          <c:dLbls>
            <c:txPr>
              <a:bodyPr/>
              <a:lstStyle/>
              <a:p>
                <a:pPr>
                  <a:defRPr sz="1000">
                    <a:latin typeface="Gill Sans MT"/>
                    <a:cs typeface="Gill Sans MT"/>
                  </a:defRPr>
                </a:pPr>
                <a:endParaRPr lang="en-US"/>
              </a:p>
            </c:txPr>
            <c:dLblPos val="ctr"/>
            <c:showLegendKey val="0"/>
            <c:showVal val="1"/>
            <c:showCatName val="0"/>
            <c:showSerName val="0"/>
            <c:showPercent val="1"/>
            <c:showBubbleSize val="1"/>
            <c:showLeaderLines val="0"/>
          </c:dLbls>
          <c:cat>
            <c:multiLvlStrRef>
              <c:f>'[Final set of graphs LEP section_ed.xlsx]data langbylingisol'!$A$2:$B$8</c:f>
              <c:multiLvlStrCache>
                <c:ptCount val="7"/>
                <c:lvl>
                  <c:pt idx="0">
                    <c:v>All languages</c:v>
                  </c:pt>
                  <c:pt idx="1">
                    <c:v>Spanish</c:v>
                  </c:pt>
                  <c:pt idx="2">
                    <c:v>Chinese</c:v>
                  </c:pt>
                  <c:pt idx="3">
                    <c:v>Korean</c:v>
                  </c:pt>
                  <c:pt idx="4">
                    <c:v>Vietnamese</c:v>
                  </c:pt>
                  <c:pt idx="5">
                    <c:v>Amharic / Ethiopian</c:v>
                  </c:pt>
                  <c:pt idx="6">
                    <c:v>French</c:v>
                  </c:pt>
                </c:lvl>
                <c:lvl>
                  <c:pt idx="0">
                    <c:v>(N=97,190)</c:v>
                  </c:pt>
                  <c:pt idx="1">
                    <c:v>(N=47,453)</c:v>
                  </c:pt>
                  <c:pt idx="2">
                    <c:v>(N=6,649)</c:v>
                  </c:pt>
                  <c:pt idx="3">
                    <c:v>(N=6,325)</c:v>
                  </c:pt>
                  <c:pt idx="4">
                    <c:v>(N=4,571)</c:v>
                  </c:pt>
                  <c:pt idx="5">
                    <c:v>(N=4,093)</c:v>
                  </c:pt>
                  <c:pt idx="6">
                    <c:v>(N=3,677)</c:v>
                  </c:pt>
                </c:lvl>
              </c:multiLvlStrCache>
            </c:multiLvlStrRef>
          </c:cat>
          <c:val>
            <c:numRef>
              <c:f>'[Final set of graphs LEP section_ed.xlsx]data langbylingisol'!$D$2:$D$8</c:f>
              <c:numCache>
                <c:formatCode>0.0%</c:formatCode>
                <c:ptCount val="7"/>
                <c:pt idx="0">
                  <c:v>0.5665</c:v>
                </c:pt>
                <c:pt idx="1">
                  <c:v>0.53979999999999995</c:v>
                </c:pt>
                <c:pt idx="2">
                  <c:v>0.70679999999999998</c:v>
                </c:pt>
                <c:pt idx="3">
                  <c:v>0.62250000000000005</c:v>
                </c:pt>
                <c:pt idx="4">
                  <c:v>0.55500000000000005</c:v>
                </c:pt>
                <c:pt idx="5">
                  <c:v>0.52780000000000005</c:v>
                </c:pt>
                <c:pt idx="6">
                  <c:v>0.56640000000000001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1"/>
          <c:showVal val="1"/>
          <c:showCatName val="1"/>
          <c:showSerName val="1"/>
          <c:showPercent val="1"/>
          <c:showBubbleSize val="1"/>
        </c:dLbls>
        <c:gapWidth val="40"/>
        <c:overlap val="100"/>
        <c:axId val="203766784"/>
        <c:axId val="203780864"/>
      </c:barChart>
      <c:catAx>
        <c:axId val="203766784"/>
        <c:scaling>
          <c:orientation val="minMax"/>
        </c:scaling>
        <c:delete val="0"/>
        <c:axPos val="b"/>
        <c:majorTickMark val="none"/>
        <c:minorTickMark val="none"/>
        <c:tickLblPos val="nextTo"/>
        <c:spPr>
          <a:ln>
            <a:solidFill>
              <a:schemeClr val="bg1">
                <a:lumMod val="65000"/>
              </a:schemeClr>
            </a:solidFill>
          </a:ln>
        </c:spPr>
        <c:txPr>
          <a:bodyPr/>
          <a:lstStyle/>
          <a:p>
            <a:pPr>
              <a:defRPr sz="800">
                <a:latin typeface="Gill Sans MT"/>
                <a:cs typeface="Gill Sans MT"/>
              </a:defRPr>
            </a:pPr>
            <a:endParaRPr lang="en-US"/>
          </a:p>
        </c:txPr>
        <c:crossAx val="203780864"/>
        <c:crosses val="autoZero"/>
        <c:auto val="1"/>
        <c:lblAlgn val="ctr"/>
        <c:lblOffset val="100"/>
        <c:noMultiLvlLbl val="1"/>
      </c:catAx>
      <c:valAx>
        <c:axId val="203780864"/>
        <c:scaling>
          <c:orientation val="minMax"/>
          <c:max val="1"/>
        </c:scaling>
        <c:delete val="1"/>
        <c:axPos val="l"/>
        <c:numFmt formatCode="0%" sourceLinked="0"/>
        <c:majorTickMark val="none"/>
        <c:minorTickMark val="cross"/>
        <c:tickLblPos val="nextTo"/>
        <c:crossAx val="203766784"/>
        <c:crosses val="autoZero"/>
        <c:crossBetween val="between"/>
      </c:valAx>
    </c:plotArea>
    <c:legend>
      <c:legendPos val="t"/>
      <c:layout/>
      <c:overlay val="1"/>
      <c:txPr>
        <a:bodyPr/>
        <a:lstStyle/>
        <a:p>
          <a:pPr>
            <a:defRPr sz="1000">
              <a:latin typeface="Gill Sans MT"/>
              <a:cs typeface="Gill Sans MT"/>
            </a:defRPr>
          </a:pPr>
          <a:endParaRPr lang="en-US"/>
        </a:p>
      </c:txPr>
    </c:legend>
    <c:plotVisOnly val="1"/>
    <c:dispBlanksAs val="gap"/>
    <c:showDLblsOverMax val="1"/>
  </c:chart>
  <c:spPr>
    <a:ln>
      <a:noFill/>
    </a:ln>
  </c:spPr>
  <c:txPr>
    <a:bodyPr/>
    <a:lstStyle/>
    <a:p>
      <a:pPr>
        <a:defRPr sz="1400"/>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453029308836416E-2"/>
          <c:y val="0.20330537230143503"/>
          <c:w val="0.87600749125109412"/>
          <c:h val="0.75762810054148622"/>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1"/>
              <c:layout/>
              <c:dLblPos val="bestFit"/>
              <c:showLegendKey val="0"/>
              <c:showVal val="0"/>
              <c:showCatName val="1"/>
              <c:showSerName val="0"/>
              <c:showPercent val="1"/>
              <c:showBubbleSize val="0"/>
            </c:dLbl>
            <c:dLbl>
              <c:idx val="3"/>
              <c:layout/>
              <c:dLblPos val="bestFit"/>
              <c:showLegendKey val="0"/>
              <c:showVal val="0"/>
              <c:showCatName val="1"/>
              <c:showSerName val="0"/>
              <c:showPercent val="1"/>
              <c:showBubbleSize val="0"/>
            </c:dLbl>
            <c:dLbl>
              <c:idx val="4"/>
              <c:layout>
                <c:manualLayout>
                  <c:x val="-9.6342888779527514E-2"/>
                  <c:y val="4.7685677803788011E-2"/>
                </c:manualLayout>
              </c:layout>
              <c:tx>
                <c:rich>
                  <a:bodyPr/>
                  <a:lstStyle/>
                  <a:p>
                    <a:pPr>
                      <a:defRPr>
                        <a:solidFill>
                          <a:sysClr val="windowText" lastClr="000000"/>
                        </a:solidFill>
                        <a:latin typeface="Gill Sans MT" panose="020B0502020104020203" pitchFamily="34" charset="0"/>
                      </a:defRPr>
                    </a:pPr>
                    <a:r>
                      <a:rPr lang="en-US">
                        <a:solidFill>
                          <a:sysClr val="windowText" lastClr="000000"/>
                        </a:solidFill>
                        <a:latin typeface="Gill Sans MT" panose="020B0502020104020203" pitchFamily="34" charset="0"/>
                      </a:rPr>
                      <a:t>Northern America
2%</a:t>
                    </a:r>
                    <a:endParaRPr lang="en-US">
                      <a:solidFill>
                        <a:sysClr val="windowText" lastClr="000000"/>
                      </a:solidFill>
                    </a:endParaRPr>
                  </a:p>
                </c:rich>
              </c:tx>
              <c:spPr>
                <a:noFill/>
                <a:ln w="25424">
                  <a:noFill/>
                </a:ln>
              </c:spPr>
              <c:dLblPos val="bestFit"/>
              <c:showLegendKey val="0"/>
              <c:showVal val="0"/>
              <c:showCatName val="0"/>
              <c:showSerName val="0"/>
              <c:showPercent val="0"/>
              <c:showBubbleSize val="0"/>
            </c:dLbl>
            <c:dLbl>
              <c:idx val="5"/>
              <c:layout>
                <c:manualLayout>
                  <c:x val="0.11237560148731403"/>
                  <c:y val="7.5349956255468132E-3"/>
                </c:manualLayout>
              </c:layout>
              <c:spPr>
                <a:noFill/>
                <a:ln w="25424">
                  <a:noFill/>
                </a:ln>
              </c:spPr>
              <c:txPr>
                <a:bodyPr/>
                <a:lstStyle/>
                <a:p>
                  <a:pPr>
                    <a:defRPr>
                      <a:solidFill>
                        <a:sysClr val="windowText" lastClr="000000"/>
                      </a:solidFill>
                      <a:latin typeface="Gill Sans MT" panose="020B0502020104020203" pitchFamily="34" charset="0"/>
                    </a:defRPr>
                  </a:pPr>
                  <a:endParaRPr lang="en-US"/>
                </a:p>
              </c:txPr>
              <c:dLblPos val="bestFit"/>
              <c:showLegendKey val="0"/>
              <c:showVal val="0"/>
              <c:showCatName val="1"/>
              <c:showSerName val="0"/>
              <c:showPercent val="1"/>
              <c:showBubbleSize val="0"/>
            </c:dLbl>
            <c:spPr>
              <a:noFill/>
              <a:ln w="25424">
                <a:noFill/>
              </a:ln>
            </c:spPr>
            <c:txPr>
              <a:bodyPr/>
              <a:lstStyle/>
              <a:p>
                <a:pPr>
                  <a:defRPr>
                    <a:solidFill>
                      <a:schemeClr val="bg1"/>
                    </a:solidFill>
                    <a:latin typeface="Gill Sans MT" panose="020B0502020104020203" pitchFamily="34" charset="0"/>
                  </a:defRPr>
                </a:pPr>
                <a:endParaRPr lang="en-US"/>
              </a:p>
            </c:txPr>
            <c:showLegendKey val="0"/>
            <c:showVal val="0"/>
            <c:showCatName val="1"/>
            <c:showSerName val="0"/>
            <c:showPercent val="1"/>
            <c:showBubbleSize val="0"/>
            <c:showLeaderLines val="1"/>
          </c:dLbls>
          <c:cat>
            <c:strRef>
              <c:f>'Top regions of birth US DC'!$E$4:$E$25</c:f>
              <c:strCache>
                <c:ptCount val="6"/>
                <c:pt idx="0">
                  <c:v>Latin America</c:v>
                </c:pt>
                <c:pt idx="1">
                  <c:v>Asia</c:v>
                </c:pt>
                <c:pt idx="2">
                  <c:v>Europe</c:v>
                </c:pt>
                <c:pt idx="3">
                  <c:v>Africa</c:v>
                </c:pt>
                <c:pt idx="4">
                  <c:v>Northern America (Canada and Caribbean)</c:v>
                </c:pt>
                <c:pt idx="5">
                  <c:v>Oceania</c:v>
                </c:pt>
              </c:strCache>
            </c:strRef>
          </c:cat>
          <c:val>
            <c:numRef>
              <c:f>'Top regions of birth US DC'!$F$4:$F$25</c:f>
              <c:numCache>
                <c:formatCode>#,##0</c:formatCode>
                <c:ptCount val="6"/>
                <c:pt idx="0">
                  <c:v>37719</c:v>
                </c:pt>
                <c:pt idx="1">
                  <c:v>16362</c:v>
                </c:pt>
                <c:pt idx="2">
                  <c:v>15391</c:v>
                </c:pt>
                <c:pt idx="3">
                  <c:v>13353</c:v>
                </c:pt>
                <c:pt idx="4">
                  <c:v>1532</c:v>
                </c:pt>
                <c:pt idx="5">
                  <c:v>986</c:v>
                </c:pt>
              </c:numCache>
            </c:numRef>
          </c:val>
        </c:ser>
        <c:dLbls>
          <c:showLegendKey val="0"/>
          <c:showVal val="0"/>
          <c:showCatName val="1"/>
          <c:showSerName val="0"/>
          <c:showPercent val="1"/>
          <c:showBubbleSize val="0"/>
          <c:showLeaderLines val="1"/>
        </c:dLbls>
        <c:firstSliceAng val="0"/>
      </c:pieChart>
      <c:spPr>
        <a:noFill/>
        <a:ln w="12712">
          <a:solidFill>
            <a:srgbClr val="FFFFFF"/>
          </a:solidFill>
          <a:prstDash val="solid"/>
        </a:ln>
      </c:spPr>
    </c:plotArea>
    <c:plotVisOnly val="1"/>
    <c:dispBlanksAs val="zero"/>
    <c:showDLblsOverMax val="0"/>
  </c:chart>
  <c:spPr>
    <a:solidFill>
      <a:srgbClr val="FFFFFF"/>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8177493438320217E-2"/>
          <c:y val="0.19180381168570101"/>
          <c:w val="0.90222516130796082"/>
          <c:h val="0.78030284221229096"/>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0"/>
              <c:layout/>
              <c:tx>
                <c:rich>
                  <a:bodyPr/>
                  <a:lstStyle/>
                  <a:p>
                    <a:pPr>
                      <a:defRPr>
                        <a:solidFill>
                          <a:schemeClr val="bg1"/>
                        </a:solidFill>
                        <a:latin typeface="Gill Sans MT" panose="020B0502020104020203" pitchFamily="34" charset="0"/>
                      </a:defRPr>
                    </a:pPr>
                    <a:r>
                      <a:rPr lang="en-US">
                        <a:solidFill>
                          <a:schemeClr val="bg1"/>
                        </a:solidFill>
                        <a:latin typeface="Gill Sans MT" panose="020B0502020104020203" pitchFamily="34" charset="0"/>
                      </a:rPr>
                      <a:t>Latin America
53%</a:t>
                    </a:r>
                    <a:endParaRPr lang="en-US">
                      <a:solidFill>
                        <a:schemeClr val="bg1"/>
                      </a:solidFill>
                    </a:endParaRPr>
                  </a:p>
                </c:rich>
              </c:tx>
              <c:spPr/>
              <c:showLegendKey val="0"/>
              <c:showVal val="0"/>
              <c:showCatName val="1"/>
              <c:showSerName val="0"/>
              <c:showPercent val="1"/>
              <c:showBubbleSize val="0"/>
            </c:dLbl>
            <c:dLbl>
              <c:idx val="1"/>
              <c:layout/>
              <c:dLblPos val="bestFit"/>
              <c:showLegendKey val="0"/>
              <c:showVal val="0"/>
              <c:showCatName val="1"/>
              <c:showSerName val="0"/>
              <c:showPercent val="1"/>
              <c:showBubbleSize val="0"/>
            </c:dLbl>
            <c:dLbl>
              <c:idx val="2"/>
              <c:spPr/>
              <c:txPr>
                <a:bodyPr/>
                <a:lstStyle/>
                <a:p>
                  <a:pPr>
                    <a:defRPr>
                      <a:solidFill>
                        <a:schemeClr val="bg1"/>
                      </a:solidFill>
                      <a:latin typeface="Gill Sans MT" panose="020B0502020104020203" pitchFamily="34" charset="0"/>
                    </a:defRPr>
                  </a:pPr>
                  <a:endParaRPr lang="en-US"/>
                </a:p>
              </c:txPr>
              <c:showLegendKey val="0"/>
              <c:showVal val="0"/>
              <c:showCatName val="1"/>
              <c:showSerName val="0"/>
              <c:showPercent val="1"/>
              <c:showBubbleSize val="0"/>
            </c:dLbl>
            <c:dLbl>
              <c:idx val="3"/>
              <c:layout>
                <c:manualLayout>
                  <c:x val="-9.5918771872265926E-2"/>
                  <c:y val="1.2153686084471798E-2"/>
                </c:manualLayout>
              </c:layout>
              <c:dLblPos val="bestFit"/>
              <c:showLegendKey val="0"/>
              <c:showVal val="0"/>
              <c:showCatName val="1"/>
              <c:showSerName val="0"/>
              <c:showPercent val="1"/>
              <c:showBubbleSize val="0"/>
            </c:dLbl>
            <c:dLbl>
              <c:idx val="4"/>
              <c:layout/>
              <c:tx>
                <c:rich>
                  <a:bodyPr/>
                  <a:lstStyle/>
                  <a:p>
                    <a:r>
                      <a:rPr lang="en-US">
                        <a:latin typeface="Gill Sans MT" panose="020B0502020104020203" pitchFamily="34" charset="0"/>
                      </a:rPr>
                      <a:t>Northern America 
2%</a:t>
                    </a:r>
                    <a:endParaRPr lang="en-US"/>
                  </a:p>
                </c:rich>
              </c:tx>
              <c:dLblPos val="bestFit"/>
              <c:showLegendKey val="0"/>
              <c:showVal val="0"/>
              <c:showCatName val="0"/>
              <c:showSerName val="0"/>
              <c:showPercent val="0"/>
              <c:showBubbleSize val="0"/>
            </c:dLbl>
            <c:dLbl>
              <c:idx val="5"/>
              <c:layout/>
              <c:dLblPos val="bestFit"/>
              <c:showLegendKey val="0"/>
              <c:showVal val="0"/>
              <c:showCatName val="1"/>
              <c:showSerName val="0"/>
              <c:showPercent val="1"/>
              <c:showBubbleSize val="0"/>
            </c:dLbl>
            <c:txPr>
              <a:bodyPr/>
              <a:lstStyle/>
              <a:p>
                <a:pPr>
                  <a:defRPr>
                    <a:latin typeface="Gill Sans MT" panose="020B0502020104020203" pitchFamily="34" charset="0"/>
                  </a:defRPr>
                </a:pPr>
                <a:endParaRPr lang="en-US"/>
              </a:p>
            </c:txPr>
            <c:showLegendKey val="0"/>
            <c:showVal val="0"/>
            <c:showCatName val="1"/>
            <c:showSerName val="0"/>
            <c:showPercent val="1"/>
            <c:showBubbleSize val="0"/>
            <c:showLeaderLines val="1"/>
          </c:dLbls>
          <c:cat>
            <c:strRef>
              <c:f>'Top regions of birth US DC'!$A$4:$A$25</c:f>
              <c:strCache>
                <c:ptCount val="6"/>
                <c:pt idx="0">
                  <c:v>Latin America</c:v>
                </c:pt>
                <c:pt idx="1">
                  <c:v>Asia</c:v>
                </c:pt>
                <c:pt idx="2">
                  <c:v>Europe</c:v>
                </c:pt>
                <c:pt idx="3">
                  <c:v>Africa</c:v>
                </c:pt>
                <c:pt idx="4">
                  <c:v>Northern America (Canada and Caribbean)</c:v>
                </c:pt>
                <c:pt idx="5">
                  <c:v>Oceania</c:v>
                </c:pt>
              </c:strCache>
            </c:strRef>
          </c:cat>
          <c:val>
            <c:numRef>
              <c:f>'Top regions of birth US DC'!$B$4:$B$25</c:f>
              <c:numCache>
                <c:formatCode>#,##0</c:formatCode>
                <c:ptCount val="6"/>
                <c:pt idx="0">
                  <c:v>21278610</c:v>
                </c:pt>
                <c:pt idx="1">
                  <c:v>11631874</c:v>
                </c:pt>
                <c:pt idx="2">
                  <c:v>4841537</c:v>
                </c:pt>
                <c:pt idx="3">
                  <c:v>1665296</c:v>
                </c:pt>
                <c:pt idx="4">
                  <c:v>805658</c:v>
                </c:pt>
                <c:pt idx="5">
                  <c:v>227390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3172964476233147E-2"/>
          <c:y val="4.1931854882764907E-2"/>
          <c:w val="0.77747018827370995"/>
          <c:h val="0.86985172222487528"/>
        </c:manualLayout>
      </c:layout>
      <c:lineChart>
        <c:grouping val="standard"/>
        <c:varyColors val="0"/>
        <c:ser>
          <c:idx val="0"/>
          <c:order val="0"/>
          <c:tx>
            <c:strRef>
              <c:f>Sheet1!$B$18</c:f>
              <c:strCache>
                <c:ptCount val="1"/>
                <c:pt idx="0">
                  <c:v>Africa</c:v>
                </c:pt>
              </c:strCache>
            </c:strRef>
          </c:tx>
          <c:marker>
            <c:symbol val="none"/>
          </c:marker>
          <c:cat>
            <c:numRef>
              <c:f>Sheet1!$A$19:$A$21</c:f>
              <c:numCache>
                <c:formatCode>General</c:formatCode>
                <c:ptCount val="3"/>
                <c:pt idx="0">
                  <c:v>1990</c:v>
                </c:pt>
                <c:pt idx="1">
                  <c:v>2000</c:v>
                </c:pt>
                <c:pt idx="2">
                  <c:v>2012</c:v>
                </c:pt>
              </c:numCache>
            </c:numRef>
          </c:cat>
          <c:val>
            <c:numRef>
              <c:f>Sheet1!$B$19:$B$21</c:f>
              <c:numCache>
                <c:formatCode>#,##0</c:formatCode>
                <c:ptCount val="3"/>
                <c:pt idx="0">
                  <c:v>6571</c:v>
                </c:pt>
                <c:pt idx="1">
                  <c:v>9208</c:v>
                </c:pt>
                <c:pt idx="2" formatCode="General">
                  <c:v>15555</c:v>
                </c:pt>
              </c:numCache>
            </c:numRef>
          </c:val>
          <c:smooth val="0"/>
        </c:ser>
        <c:ser>
          <c:idx val="1"/>
          <c:order val="1"/>
          <c:tx>
            <c:strRef>
              <c:f>Sheet1!$C$18</c:f>
              <c:strCache>
                <c:ptCount val="1"/>
                <c:pt idx="0">
                  <c:v>Asia</c:v>
                </c:pt>
              </c:strCache>
            </c:strRef>
          </c:tx>
          <c:marker>
            <c:symbol val="none"/>
          </c:marker>
          <c:cat>
            <c:numRef>
              <c:f>Sheet1!$A$19:$A$21</c:f>
              <c:numCache>
                <c:formatCode>General</c:formatCode>
                <c:ptCount val="3"/>
                <c:pt idx="0">
                  <c:v>1990</c:v>
                </c:pt>
                <c:pt idx="1">
                  <c:v>2000</c:v>
                </c:pt>
                <c:pt idx="2">
                  <c:v>2012</c:v>
                </c:pt>
              </c:numCache>
            </c:numRef>
          </c:cat>
          <c:val>
            <c:numRef>
              <c:f>Sheet1!$C$19:$C$21</c:f>
              <c:numCache>
                <c:formatCode>#,##0</c:formatCode>
                <c:ptCount val="3"/>
                <c:pt idx="0">
                  <c:v>9760</c:v>
                </c:pt>
                <c:pt idx="1">
                  <c:v>12503</c:v>
                </c:pt>
                <c:pt idx="2" formatCode="General">
                  <c:v>18110</c:v>
                </c:pt>
              </c:numCache>
            </c:numRef>
          </c:val>
          <c:smooth val="0"/>
        </c:ser>
        <c:ser>
          <c:idx val="2"/>
          <c:order val="2"/>
          <c:tx>
            <c:strRef>
              <c:f>Sheet1!$D$18</c:f>
              <c:strCache>
                <c:ptCount val="1"/>
                <c:pt idx="0">
                  <c:v>Europe</c:v>
                </c:pt>
              </c:strCache>
            </c:strRef>
          </c:tx>
          <c:marker>
            <c:symbol val="none"/>
          </c:marker>
          <c:cat>
            <c:numRef>
              <c:f>Sheet1!$A$19:$A$21</c:f>
              <c:numCache>
                <c:formatCode>General</c:formatCode>
                <c:ptCount val="3"/>
                <c:pt idx="0">
                  <c:v>1990</c:v>
                </c:pt>
                <c:pt idx="1">
                  <c:v>2000</c:v>
                </c:pt>
                <c:pt idx="2">
                  <c:v>2012</c:v>
                </c:pt>
              </c:numCache>
            </c:numRef>
          </c:cat>
          <c:val>
            <c:numRef>
              <c:f>Sheet1!$D$19:$D$21</c:f>
              <c:numCache>
                <c:formatCode>#,##0</c:formatCode>
                <c:ptCount val="3"/>
                <c:pt idx="0">
                  <c:v>10483</c:v>
                </c:pt>
                <c:pt idx="1">
                  <c:v>12909</c:v>
                </c:pt>
                <c:pt idx="2" formatCode="General">
                  <c:v>13339</c:v>
                </c:pt>
              </c:numCache>
            </c:numRef>
          </c:val>
          <c:smooth val="0"/>
        </c:ser>
        <c:ser>
          <c:idx val="3"/>
          <c:order val="3"/>
          <c:tx>
            <c:strRef>
              <c:f>Sheet1!$E$18</c:f>
              <c:strCache>
                <c:ptCount val="1"/>
                <c:pt idx="0">
                  <c:v>Latin America</c:v>
                </c:pt>
              </c:strCache>
            </c:strRef>
          </c:tx>
          <c:marker>
            <c:symbol val="none"/>
          </c:marker>
          <c:cat>
            <c:numRef>
              <c:f>Sheet1!$A$19:$A$21</c:f>
              <c:numCache>
                <c:formatCode>General</c:formatCode>
                <c:ptCount val="3"/>
                <c:pt idx="0">
                  <c:v>1990</c:v>
                </c:pt>
                <c:pt idx="1">
                  <c:v>2000</c:v>
                </c:pt>
                <c:pt idx="2">
                  <c:v>2012</c:v>
                </c:pt>
              </c:numCache>
            </c:numRef>
          </c:cat>
          <c:val>
            <c:numRef>
              <c:f>Sheet1!$E$19:$E$21</c:f>
              <c:numCache>
                <c:formatCode>#,##0</c:formatCode>
                <c:ptCount val="3"/>
                <c:pt idx="0">
                  <c:v>26932</c:v>
                </c:pt>
                <c:pt idx="1">
                  <c:v>37079</c:v>
                </c:pt>
                <c:pt idx="2" formatCode="General">
                  <c:v>40339</c:v>
                </c:pt>
              </c:numCache>
            </c:numRef>
          </c:val>
          <c:smooth val="0"/>
        </c:ser>
        <c:ser>
          <c:idx val="4"/>
          <c:order val="4"/>
          <c:tx>
            <c:strRef>
              <c:f>Sheet1!$F$18</c:f>
              <c:strCache>
                <c:ptCount val="1"/>
                <c:pt idx="0">
                  <c:v>Other</c:v>
                </c:pt>
              </c:strCache>
            </c:strRef>
          </c:tx>
          <c:marker>
            <c:symbol val="none"/>
          </c:marker>
          <c:cat>
            <c:numRef>
              <c:f>Sheet1!$A$19:$A$21</c:f>
              <c:numCache>
                <c:formatCode>General</c:formatCode>
                <c:ptCount val="3"/>
                <c:pt idx="0">
                  <c:v>1990</c:v>
                </c:pt>
                <c:pt idx="1">
                  <c:v>2000</c:v>
                </c:pt>
                <c:pt idx="2">
                  <c:v>2012</c:v>
                </c:pt>
              </c:numCache>
            </c:numRef>
          </c:cat>
          <c:val>
            <c:numRef>
              <c:f>Sheet1!$F$19:$F$21</c:f>
              <c:numCache>
                <c:formatCode>General</c:formatCode>
                <c:ptCount val="3"/>
                <c:pt idx="0">
                  <c:v>1541</c:v>
                </c:pt>
                <c:pt idx="1">
                  <c:v>1856</c:v>
                </c:pt>
                <c:pt idx="2">
                  <c:v>2980</c:v>
                </c:pt>
              </c:numCache>
            </c:numRef>
          </c:val>
          <c:smooth val="0"/>
        </c:ser>
        <c:dLbls>
          <c:showLegendKey val="0"/>
          <c:showVal val="0"/>
          <c:showCatName val="0"/>
          <c:showSerName val="0"/>
          <c:showPercent val="0"/>
          <c:showBubbleSize val="0"/>
        </c:dLbls>
        <c:marker val="1"/>
        <c:smooth val="0"/>
        <c:axId val="200616960"/>
        <c:axId val="200618752"/>
      </c:lineChart>
      <c:catAx>
        <c:axId val="200616960"/>
        <c:scaling>
          <c:orientation val="minMax"/>
        </c:scaling>
        <c:delete val="0"/>
        <c:axPos val="b"/>
        <c:numFmt formatCode="General" sourceLinked="1"/>
        <c:majorTickMark val="none"/>
        <c:minorTickMark val="none"/>
        <c:tickLblPos val="nextTo"/>
        <c:txPr>
          <a:bodyPr/>
          <a:lstStyle/>
          <a:p>
            <a:pPr>
              <a:defRPr>
                <a:latin typeface="Gill Sans MT" panose="020B0502020104020203" pitchFamily="34" charset="0"/>
              </a:defRPr>
            </a:pPr>
            <a:endParaRPr lang="en-US"/>
          </a:p>
        </c:txPr>
        <c:crossAx val="200618752"/>
        <c:crosses val="autoZero"/>
        <c:auto val="1"/>
        <c:lblAlgn val="ctr"/>
        <c:lblOffset val="100"/>
        <c:tickLblSkip val="1"/>
        <c:noMultiLvlLbl val="0"/>
      </c:catAx>
      <c:valAx>
        <c:axId val="200618752"/>
        <c:scaling>
          <c:orientation val="minMax"/>
        </c:scaling>
        <c:delete val="0"/>
        <c:axPos val="l"/>
        <c:majorGridlines/>
        <c:numFmt formatCode="#,##0" sourceLinked="1"/>
        <c:majorTickMark val="none"/>
        <c:minorTickMark val="none"/>
        <c:tickLblPos val="nextTo"/>
        <c:txPr>
          <a:bodyPr/>
          <a:lstStyle/>
          <a:p>
            <a:pPr>
              <a:defRPr>
                <a:latin typeface="Gill Sans MT" panose="020B0502020104020203" pitchFamily="34" charset="0"/>
              </a:defRPr>
            </a:pPr>
            <a:endParaRPr lang="en-US"/>
          </a:p>
        </c:txPr>
        <c:crossAx val="200616960"/>
        <c:crosses val="autoZero"/>
        <c:crossBetween val="midCat"/>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9400195167911696E-2"/>
          <c:y val="3.7286555880816301E-2"/>
          <c:w val="0.89216299885591199"/>
          <c:h val="0.77477980297632998"/>
        </c:manualLayout>
      </c:layout>
      <c:barChart>
        <c:barDir val="col"/>
        <c:grouping val="clustered"/>
        <c:varyColors val="1"/>
        <c:ser>
          <c:idx val="1"/>
          <c:order val="0"/>
          <c:tx>
            <c:strRef>
              <c:f>'[Final set of graphs Global DC section_ed.xlsx]data_ed'!$B$4</c:f>
              <c:strCache>
                <c:ptCount val="1"/>
                <c:pt idx="0">
                  <c:v>US-born</c:v>
                </c:pt>
              </c:strCache>
            </c:strRef>
          </c:tx>
          <c:spPr>
            <a:solidFill>
              <a:schemeClr val="bg1">
                <a:lumMod val="85000"/>
              </a:schemeClr>
            </a:solidFill>
          </c:spPr>
          <c:invertIfNegative val="0"/>
          <c:dLbls>
            <c:txPr>
              <a:bodyPr/>
              <a:lstStyle/>
              <a:p>
                <a:pPr>
                  <a:defRPr>
                    <a:latin typeface="Gill Sans MT" panose="020B0502020104020203" pitchFamily="34" charset="0"/>
                  </a:defRPr>
                </a:pPr>
                <a:endParaRPr lang="en-US"/>
              </a:p>
            </c:txPr>
            <c:dLblPos val="outEnd"/>
            <c:showLegendKey val="0"/>
            <c:showVal val="1"/>
            <c:showCatName val="0"/>
            <c:showSerName val="0"/>
            <c:showPercent val="0"/>
            <c:showBubbleSize val="0"/>
            <c:showLeaderLines val="0"/>
          </c:dLbls>
          <c:cat>
            <c:strRef>
              <c:f>'[Final set of graphs Global DC section_ed.xlsx]data_ed'!$A$7:$A$11</c:f>
              <c:strCache>
                <c:ptCount val="5"/>
                <c:pt idx="0">
                  <c:v>Less than high school education</c:v>
                </c:pt>
                <c:pt idx="1">
                  <c:v>High school degree or equivalent</c:v>
                </c:pt>
                <c:pt idx="2">
                  <c:v>Some college education</c:v>
                </c:pt>
                <c:pt idx="3">
                  <c:v>Bachelor's degree</c:v>
                </c:pt>
                <c:pt idx="4">
                  <c:v>Graduate education</c:v>
                </c:pt>
              </c:strCache>
            </c:strRef>
          </c:cat>
          <c:val>
            <c:numRef>
              <c:f>'[Final set of graphs Global DC section_ed.xlsx]data_ed'!$C$7:$C$11</c:f>
              <c:numCache>
                <c:formatCode>0.0</c:formatCode>
                <c:ptCount val="5"/>
                <c:pt idx="0">
                  <c:v>10.375576974339548</c:v>
                </c:pt>
                <c:pt idx="1">
                  <c:v>19.663846682660605</c:v>
                </c:pt>
                <c:pt idx="2">
                  <c:v>17.637667129649117</c:v>
                </c:pt>
                <c:pt idx="3">
                  <c:v>23.874742202954668</c:v>
                </c:pt>
                <c:pt idx="4">
                  <c:v>28.448167010396059</c:v>
                </c:pt>
              </c:numCache>
            </c:numRef>
          </c:val>
        </c:ser>
        <c:ser>
          <c:idx val="2"/>
          <c:order val="1"/>
          <c:tx>
            <c:strRef>
              <c:f>'[Final set of graphs Global DC section_ed.xlsx]data_ed'!$E$4</c:f>
              <c:strCache>
                <c:ptCount val="1"/>
                <c:pt idx="0">
                  <c:v>Foreign-born</c:v>
                </c:pt>
              </c:strCache>
            </c:strRef>
          </c:tx>
          <c:spPr>
            <a:solidFill>
              <a:srgbClr val="3090C4"/>
            </a:solidFill>
          </c:spPr>
          <c:invertIfNegative val="0"/>
          <c:dLbls>
            <c:txPr>
              <a:bodyPr/>
              <a:lstStyle/>
              <a:p>
                <a:pPr>
                  <a:defRPr>
                    <a:latin typeface="Gill Sans MT" panose="020B0502020104020203" pitchFamily="34" charset="0"/>
                  </a:defRPr>
                </a:pPr>
                <a:endParaRPr lang="en-US"/>
              </a:p>
            </c:txPr>
            <c:dLblPos val="outEnd"/>
            <c:showLegendKey val="0"/>
            <c:showVal val="1"/>
            <c:showCatName val="0"/>
            <c:showSerName val="0"/>
            <c:showPercent val="0"/>
            <c:showBubbleSize val="0"/>
            <c:showLeaderLines val="0"/>
          </c:dLbls>
          <c:cat>
            <c:strRef>
              <c:f>'[Final set of graphs Global DC section_ed.xlsx]data_ed'!$A$7:$A$11</c:f>
              <c:strCache>
                <c:ptCount val="5"/>
                <c:pt idx="0">
                  <c:v>Less than high school education</c:v>
                </c:pt>
                <c:pt idx="1">
                  <c:v>High school degree or equivalent</c:v>
                </c:pt>
                <c:pt idx="2">
                  <c:v>Some college education</c:v>
                </c:pt>
                <c:pt idx="3">
                  <c:v>Bachelor's degree</c:v>
                </c:pt>
                <c:pt idx="4">
                  <c:v>Graduate education</c:v>
                </c:pt>
              </c:strCache>
            </c:strRef>
          </c:cat>
          <c:val>
            <c:numRef>
              <c:f>'[Final set of graphs Global DC section_ed.xlsx]data_ed'!$F$7:$F$11</c:f>
              <c:numCache>
                <c:formatCode>0.0</c:formatCode>
                <c:ptCount val="5"/>
                <c:pt idx="0">
                  <c:v>21.52550822577965</c:v>
                </c:pt>
                <c:pt idx="1">
                  <c:v>15.514041987481306</c:v>
                </c:pt>
                <c:pt idx="2">
                  <c:v>14.242785132664931</c:v>
                </c:pt>
                <c:pt idx="3">
                  <c:v>19.41090123525176</c:v>
                </c:pt>
                <c:pt idx="4">
                  <c:v>29.306763418822356</c:v>
                </c:pt>
              </c:numCache>
            </c:numRef>
          </c:val>
        </c:ser>
        <c:dLbls>
          <c:dLblPos val="outEnd"/>
          <c:showLegendKey val="0"/>
          <c:showVal val="1"/>
          <c:showCatName val="0"/>
          <c:showSerName val="0"/>
          <c:showPercent val="0"/>
          <c:showBubbleSize val="0"/>
        </c:dLbls>
        <c:gapWidth val="150"/>
        <c:axId val="202338304"/>
        <c:axId val="202339840"/>
      </c:barChart>
      <c:catAx>
        <c:axId val="202338304"/>
        <c:scaling>
          <c:orientation val="minMax"/>
        </c:scaling>
        <c:delete val="0"/>
        <c:axPos val="b"/>
        <c:numFmt formatCode="General" sourceLinked="1"/>
        <c:majorTickMark val="none"/>
        <c:minorTickMark val="none"/>
        <c:tickLblPos val="nextTo"/>
        <c:txPr>
          <a:bodyPr/>
          <a:lstStyle/>
          <a:p>
            <a:pPr>
              <a:defRPr>
                <a:latin typeface="Gill Sans MT" panose="020B0502020104020203" pitchFamily="34" charset="0"/>
              </a:defRPr>
            </a:pPr>
            <a:endParaRPr lang="en-US"/>
          </a:p>
        </c:txPr>
        <c:crossAx val="202339840"/>
        <c:crosses val="autoZero"/>
        <c:auto val="1"/>
        <c:lblAlgn val="ctr"/>
        <c:lblOffset val="100"/>
        <c:noMultiLvlLbl val="1"/>
      </c:catAx>
      <c:valAx>
        <c:axId val="202339840"/>
        <c:scaling>
          <c:orientation val="minMax"/>
        </c:scaling>
        <c:delete val="1"/>
        <c:axPos val="l"/>
        <c:numFmt formatCode="0.0" sourceLinked="1"/>
        <c:majorTickMark val="none"/>
        <c:minorTickMark val="cross"/>
        <c:tickLblPos val="nextTo"/>
        <c:crossAx val="202338304"/>
        <c:crosses val="autoZero"/>
        <c:crossBetween val="between"/>
      </c:valAx>
    </c:plotArea>
    <c:legend>
      <c:legendPos val="t"/>
      <c:layout/>
      <c:overlay val="0"/>
      <c:txPr>
        <a:bodyPr/>
        <a:lstStyle/>
        <a:p>
          <a:pPr>
            <a:defRPr>
              <a:latin typeface="Gill Sans MT" panose="020B0502020104020203" pitchFamily="34" charset="0"/>
            </a:defRPr>
          </a:pPr>
          <a:endParaRPr lang="en-US"/>
        </a:p>
      </c:txPr>
    </c:legend>
    <c:plotVisOnly val="1"/>
    <c:dispBlanksAs val="gap"/>
    <c:showDLblsOverMax val="1"/>
  </c:chart>
  <c:spPr>
    <a:ln>
      <a:noFill/>
    </a:ln>
    <a:effectLst/>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0.39047816138367297"/>
          <c:y val="7.3010554531747401E-2"/>
          <c:w val="0.56509876169325002"/>
          <c:h val="0.82687480522288503"/>
        </c:manualLayout>
      </c:layout>
      <c:barChart>
        <c:barDir val="bar"/>
        <c:grouping val="percentStacked"/>
        <c:varyColors val="1"/>
        <c:ser>
          <c:idx val="0"/>
          <c:order val="0"/>
          <c:tx>
            <c:v>Immigrants</c:v>
          </c:tx>
          <c:spPr>
            <a:solidFill>
              <a:srgbClr val="3090C4"/>
            </a:solidFill>
            <a:ln>
              <a:noFill/>
            </a:ln>
          </c:spPr>
          <c:invertIfNegative val="1"/>
          <c:dLbls>
            <c:showLegendKey val="0"/>
            <c:showVal val="1"/>
            <c:showCatName val="0"/>
            <c:showSerName val="0"/>
            <c:showPercent val="1"/>
            <c:showBubbleSize val="1"/>
            <c:showLeaderLines val="0"/>
          </c:dLbls>
          <c:cat>
            <c:strRef>
              <c:f>data_occ!$A$3:$A$12</c:f>
              <c:strCache>
                <c:ptCount val="10"/>
                <c:pt idx="0">
                  <c:v>Management </c:v>
                </c:pt>
                <c:pt idx="1">
                  <c:v>Building and grounds cleaning and maintenance </c:v>
                </c:pt>
                <c:pt idx="2">
                  <c:v>Health care support </c:v>
                </c:pt>
                <c:pt idx="3">
                  <c:v>Food preparation and serving related </c:v>
                </c:pt>
                <c:pt idx="4">
                  <c:v>Health care practitioners and technical </c:v>
                </c:pt>
                <c:pt idx="5">
                  <c:v>Education, training, and library </c:v>
                </c:pt>
                <c:pt idx="6">
                  <c:v>Legal </c:v>
                </c:pt>
                <c:pt idx="7">
                  <c:v>Computer and mathematical </c:v>
                </c:pt>
                <c:pt idx="8">
                  <c:v>Office and administrative support </c:v>
                </c:pt>
                <c:pt idx="9">
                  <c:v>Business and financial operations </c:v>
                </c:pt>
              </c:strCache>
            </c:strRef>
          </c:cat>
          <c:val>
            <c:numRef>
              <c:f>data_occ!$C$3:$C$12</c:f>
              <c:numCache>
                <c:formatCode>0%</c:formatCode>
                <c:ptCount val="10"/>
                <c:pt idx="0">
                  <c:v>0.18429999999999999</c:v>
                </c:pt>
                <c:pt idx="1">
                  <c:v>0.58089999999999997</c:v>
                </c:pt>
                <c:pt idx="2">
                  <c:v>0.2334</c:v>
                </c:pt>
                <c:pt idx="3">
                  <c:v>0.35120000000000001</c:v>
                </c:pt>
                <c:pt idx="4">
                  <c:v>0.23089999999999999</c:v>
                </c:pt>
                <c:pt idx="5">
                  <c:v>0.16350000000000001</c:v>
                </c:pt>
                <c:pt idx="6">
                  <c:v>0.1002</c:v>
                </c:pt>
                <c:pt idx="7">
                  <c:v>0.16420000000000001</c:v>
                </c:pt>
                <c:pt idx="8">
                  <c:v>0.11799999999999999</c:v>
                </c:pt>
                <c:pt idx="9">
                  <c:v>0.16009999999999999</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ser>
          <c:idx val="1"/>
          <c:order val="1"/>
          <c:tx>
            <c:strRef>
              <c:f>data_occ!$D$1</c:f>
              <c:strCache>
                <c:ptCount val="1"/>
                <c:pt idx="0">
                  <c:v>Native-born</c:v>
                </c:pt>
              </c:strCache>
            </c:strRef>
          </c:tx>
          <c:spPr>
            <a:solidFill>
              <a:srgbClr val="BFBFBF"/>
            </a:solidFill>
          </c:spPr>
          <c:invertIfNegative val="1"/>
          <c:dLbls>
            <c:showLegendKey val="0"/>
            <c:showVal val="1"/>
            <c:showCatName val="0"/>
            <c:showSerName val="0"/>
            <c:showPercent val="1"/>
            <c:showBubbleSize val="1"/>
            <c:showLeaderLines val="0"/>
          </c:dLbls>
          <c:cat>
            <c:strRef>
              <c:f>data_occ!$A$3:$A$12</c:f>
              <c:strCache>
                <c:ptCount val="10"/>
                <c:pt idx="0">
                  <c:v>Management </c:v>
                </c:pt>
                <c:pt idx="1">
                  <c:v>Building and grounds cleaning and maintenance </c:v>
                </c:pt>
                <c:pt idx="2">
                  <c:v>Health care support </c:v>
                </c:pt>
                <c:pt idx="3">
                  <c:v>Food preparation and serving related </c:v>
                </c:pt>
                <c:pt idx="4">
                  <c:v>Health care practitioners and technical </c:v>
                </c:pt>
                <c:pt idx="5">
                  <c:v>Education, training, and library </c:v>
                </c:pt>
                <c:pt idx="6">
                  <c:v>Legal </c:v>
                </c:pt>
                <c:pt idx="7">
                  <c:v>Computer and mathematical </c:v>
                </c:pt>
                <c:pt idx="8">
                  <c:v>Office and administrative support </c:v>
                </c:pt>
                <c:pt idx="9">
                  <c:v>Business and financial operations </c:v>
                </c:pt>
              </c:strCache>
            </c:strRef>
          </c:cat>
          <c:val>
            <c:numRef>
              <c:f>data_occ!$D$3:$D$12</c:f>
              <c:numCache>
                <c:formatCode>0%</c:formatCode>
                <c:ptCount val="10"/>
                <c:pt idx="0">
                  <c:v>0.81569999999999998</c:v>
                </c:pt>
                <c:pt idx="1">
                  <c:v>0.41910000000000003</c:v>
                </c:pt>
                <c:pt idx="2">
                  <c:v>0.76659999999999995</c:v>
                </c:pt>
                <c:pt idx="3">
                  <c:v>0.64880000000000004</c:v>
                </c:pt>
                <c:pt idx="4">
                  <c:v>0.76910000000000001</c:v>
                </c:pt>
                <c:pt idx="5">
                  <c:v>0.83650000000000002</c:v>
                </c:pt>
                <c:pt idx="6">
                  <c:v>0.89980000000000004</c:v>
                </c:pt>
                <c:pt idx="7">
                  <c:v>0.83579999999999999</c:v>
                </c:pt>
                <c:pt idx="8">
                  <c:v>0.88200000000000001</c:v>
                </c:pt>
                <c:pt idx="9">
                  <c:v>0.83989999999999998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02365568"/>
        <c:axId val="202371456"/>
      </c:barChart>
      <c:catAx>
        <c:axId val="202365568"/>
        <c:scaling>
          <c:orientation val="minMax"/>
        </c:scaling>
        <c:delete val="0"/>
        <c:axPos val="l"/>
        <c:numFmt formatCode="General" sourceLinked="1"/>
        <c:majorTickMark val="out"/>
        <c:minorTickMark val="cross"/>
        <c:tickLblPos val="nextTo"/>
        <c:spPr>
          <a:ln>
            <a:noFill/>
          </a:ln>
        </c:spPr>
        <c:txPr>
          <a:bodyPr/>
          <a:lstStyle/>
          <a:p>
            <a:pPr>
              <a:defRPr sz="900">
                <a:latin typeface="Gill Sans MT" panose="020B0502020104020203" pitchFamily="34" charset="0"/>
              </a:defRPr>
            </a:pPr>
            <a:endParaRPr lang="en-US"/>
          </a:p>
        </c:txPr>
        <c:crossAx val="202371456"/>
        <c:crosses val="autoZero"/>
        <c:auto val="1"/>
        <c:lblAlgn val="ctr"/>
        <c:lblOffset val="0"/>
        <c:noMultiLvlLbl val="1"/>
      </c:catAx>
      <c:valAx>
        <c:axId val="202371456"/>
        <c:scaling>
          <c:orientation val="minMax"/>
        </c:scaling>
        <c:delete val="0"/>
        <c:axPos val="b"/>
        <c:majorGridlines>
          <c:spPr>
            <a:ln>
              <a:solidFill>
                <a:schemeClr val="bg1">
                  <a:lumMod val="85000"/>
                </a:schemeClr>
              </a:solidFill>
            </a:ln>
          </c:spPr>
        </c:majorGridlines>
        <c:numFmt formatCode="0%" sourceLinked="1"/>
        <c:majorTickMark val="out"/>
        <c:minorTickMark val="cross"/>
        <c:tickLblPos val="nextTo"/>
        <c:spPr>
          <a:ln>
            <a:noFill/>
          </a:ln>
        </c:spPr>
        <c:txPr>
          <a:bodyPr/>
          <a:lstStyle/>
          <a:p>
            <a:pPr>
              <a:defRPr sz="900">
                <a:latin typeface="Gill Sans MT" panose="020B0502020104020203" pitchFamily="34" charset="0"/>
              </a:defRPr>
            </a:pPr>
            <a:endParaRPr lang="en-US"/>
          </a:p>
        </c:txPr>
        <c:crossAx val="202365568"/>
        <c:crosses val="autoZero"/>
        <c:crossBetween val="between"/>
      </c:valAx>
      <c:spPr>
        <a:ln>
          <a:noFill/>
        </a:ln>
      </c:spPr>
    </c:plotArea>
    <c:legend>
      <c:legendPos val="b"/>
      <c:layout>
        <c:manualLayout>
          <c:xMode val="edge"/>
          <c:yMode val="edge"/>
          <c:x val="0.51107981694595905"/>
          <c:y val="1.13641911782304E-2"/>
          <c:w val="0.29523336025304497"/>
          <c:h val="5.3127827106717998E-2"/>
        </c:manualLayout>
      </c:layout>
      <c:overlay val="1"/>
      <c:txPr>
        <a:bodyPr/>
        <a:lstStyle/>
        <a:p>
          <a:pPr>
            <a:defRPr>
              <a:latin typeface="Gill Sans MT" panose="020B0502020104020203" pitchFamily="34" charset="0"/>
            </a:defRPr>
          </a:pPr>
          <a:endParaRPr lang="en-US"/>
        </a:p>
      </c:txPr>
    </c:legend>
    <c:plotVisOnly val="1"/>
    <c:dispBlanksAs val="gap"/>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0.210660754746401"/>
          <c:y val="5.2750621879356703E-2"/>
          <c:w val="0.58574496616451899"/>
          <c:h val="0.86138966793398897"/>
        </c:manualLayout>
      </c:layout>
      <c:pieChart>
        <c:varyColors val="1"/>
        <c:ser>
          <c:idx val="0"/>
          <c:order val="0"/>
          <c:dPt>
            <c:idx val="0"/>
            <c:bubble3D val="0"/>
            <c:spPr>
              <a:solidFill>
                <a:schemeClr val="bg1">
                  <a:lumMod val="85000"/>
                </a:schemeClr>
              </a:solidFill>
            </c:spPr>
          </c:dPt>
          <c:dPt>
            <c:idx val="1"/>
            <c:bubble3D val="0"/>
            <c:spPr>
              <a:solidFill>
                <a:schemeClr val="tx1">
                  <a:lumMod val="50000"/>
                  <a:lumOff val="50000"/>
                </a:schemeClr>
              </a:solidFill>
            </c:spPr>
          </c:dPt>
          <c:dPt>
            <c:idx val="2"/>
            <c:bubble3D val="0"/>
            <c:spPr>
              <a:solidFill>
                <a:srgbClr val="96C9E6"/>
              </a:solidFill>
            </c:spPr>
          </c:dPt>
          <c:dPt>
            <c:idx val="3"/>
            <c:bubble3D val="0"/>
            <c:spPr>
              <a:solidFill>
                <a:srgbClr val="3090C4"/>
              </a:solidFill>
            </c:spPr>
          </c:dPt>
          <c:dLbls>
            <c:numFmt formatCode="0.0%" sourceLinked="0"/>
            <c:txPr>
              <a:bodyPr/>
              <a:lstStyle/>
              <a:p>
                <a:pPr>
                  <a:defRPr sz="1000">
                    <a:solidFill>
                      <a:schemeClr val="tx1"/>
                    </a:solidFill>
                    <a:latin typeface="Gill Sans MT"/>
                  </a:defRPr>
                </a:pPr>
                <a:endParaRPr lang="en-US"/>
              </a:p>
            </c:txPr>
            <c:dLblPos val="outEnd"/>
            <c:showLegendKey val="0"/>
            <c:showVal val="0"/>
            <c:showCatName val="1"/>
            <c:showSerName val="0"/>
            <c:showPercent val="1"/>
            <c:showBubbleSize val="1"/>
            <c:showLeaderLines val="0"/>
          </c:dLbls>
          <c:cat>
            <c:strRef>
              <c:f>data_lepbyfb!$A$7:$D$7</c:f>
              <c:strCache>
                <c:ptCount val="4"/>
                <c:pt idx="0">
                  <c:v>US-born, English proficient</c:v>
                </c:pt>
                <c:pt idx="1">
                  <c:v>US-born, limited English proficient</c:v>
                </c:pt>
                <c:pt idx="2">
                  <c:v>Foreign-born, limited English proficient</c:v>
                </c:pt>
                <c:pt idx="3">
                  <c:v>Foreign-born, English proficient</c:v>
                </c:pt>
              </c:strCache>
            </c:strRef>
          </c:cat>
          <c:val>
            <c:numRef>
              <c:f>data_lepbyfb!$A$8:$D$8</c:f>
              <c:numCache>
                <c:formatCode>General</c:formatCode>
                <c:ptCount val="4"/>
                <c:pt idx="0">
                  <c:v>0.22936699999999999</c:v>
                </c:pt>
                <c:pt idx="1">
                  <c:v>3.1983999999999999E-2</c:v>
                </c:pt>
                <c:pt idx="2">
                  <c:v>0.35504000000000002</c:v>
                </c:pt>
                <c:pt idx="3">
                  <c:v>0.38360899999999998</c:v>
                </c:pt>
              </c:numCache>
            </c:numRef>
          </c:val>
        </c:ser>
        <c:dLbls>
          <c:showLegendKey val="1"/>
          <c:showVal val="1"/>
          <c:showCatName val="1"/>
          <c:showSerName val="1"/>
          <c:showPercent val="1"/>
          <c:showBubbleSize val="1"/>
          <c:showLeaderLines val="0"/>
        </c:dLbls>
        <c:firstSliceAng val="138"/>
      </c:pieChart>
    </c:plotArea>
    <c:plotVisOnly val="1"/>
    <c:dispBlanksAs val="zero"/>
    <c:showDLblsOverMax val="1"/>
  </c:chart>
  <c:spPr>
    <a:ln>
      <a:noFill/>
    </a:ln>
  </c:sp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0.19730229627187701"/>
          <c:y val="0.10354350805689901"/>
          <c:w val="0.58661421131928104"/>
          <c:h val="0.86362640227257004"/>
        </c:manualLayout>
      </c:layout>
      <c:pieChart>
        <c:varyColors val="1"/>
        <c:ser>
          <c:idx val="0"/>
          <c:order val="0"/>
          <c:dPt>
            <c:idx val="0"/>
            <c:bubble3D val="0"/>
            <c:spPr>
              <a:solidFill>
                <a:schemeClr val="bg1">
                  <a:lumMod val="85000"/>
                </a:schemeClr>
              </a:solidFill>
            </c:spPr>
          </c:dPt>
          <c:dPt>
            <c:idx val="1"/>
            <c:bubble3D val="0"/>
            <c:spPr>
              <a:solidFill>
                <a:schemeClr val="tx1">
                  <a:lumMod val="50000"/>
                  <a:lumOff val="50000"/>
                </a:schemeClr>
              </a:solidFill>
            </c:spPr>
          </c:dPt>
          <c:dPt>
            <c:idx val="2"/>
            <c:bubble3D val="0"/>
            <c:spPr>
              <a:solidFill>
                <a:srgbClr val="96C9E6"/>
              </a:solidFill>
            </c:spPr>
          </c:dPt>
          <c:dPt>
            <c:idx val="3"/>
            <c:bubble3D val="0"/>
            <c:spPr>
              <a:solidFill>
                <a:srgbClr val="3090C4"/>
              </a:solidFill>
            </c:spPr>
          </c:dPt>
          <c:dLbls>
            <c:dLbl>
              <c:idx val="0"/>
              <c:numFmt formatCode="0.0%" sourceLinked="0"/>
              <c:spPr/>
              <c:txPr>
                <a:bodyPr/>
                <a:lstStyle/>
                <a:p>
                  <a:pPr>
                    <a:defRPr sz="1000">
                      <a:solidFill>
                        <a:schemeClr val="tx1"/>
                      </a:solidFill>
                      <a:latin typeface="Gill Sans MT"/>
                    </a:defRPr>
                  </a:pPr>
                  <a:endParaRPr lang="en-US"/>
                </a:p>
              </c:txPr>
              <c:dLblPos val="outEnd"/>
              <c:showLegendKey val="0"/>
              <c:showVal val="0"/>
              <c:showCatName val="1"/>
              <c:showSerName val="0"/>
              <c:showPercent val="1"/>
              <c:showBubbleSize val="1"/>
            </c:dLbl>
            <c:dLbl>
              <c:idx val="1"/>
              <c:numFmt formatCode="0.0%" sourceLinked="0"/>
              <c:spPr/>
              <c:txPr>
                <a:bodyPr/>
                <a:lstStyle/>
                <a:p>
                  <a:pPr>
                    <a:defRPr sz="1000">
                      <a:latin typeface="Gill Sans MT"/>
                    </a:defRPr>
                  </a:pPr>
                  <a:endParaRPr lang="en-US"/>
                </a:p>
              </c:txPr>
              <c:dLblPos val="outEnd"/>
              <c:showLegendKey val="0"/>
              <c:showVal val="0"/>
              <c:showCatName val="1"/>
              <c:showSerName val="0"/>
              <c:showPercent val="1"/>
              <c:showBubbleSize val="1"/>
            </c:dLbl>
            <c:dLbl>
              <c:idx val="2"/>
              <c:numFmt formatCode="0.0%" sourceLinked="0"/>
              <c:spPr/>
              <c:txPr>
                <a:bodyPr/>
                <a:lstStyle/>
                <a:p>
                  <a:pPr>
                    <a:defRPr sz="1000" baseline="0">
                      <a:solidFill>
                        <a:schemeClr val="tx1"/>
                      </a:solidFill>
                      <a:latin typeface="Gill Sans MT"/>
                    </a:defRPr>
                  </a:pPr>
                  <a:endParaRPr lang="en-US"/>
                </a:p>
              </c:txPr>
              <c:dLblPos val="outEnd"/>
              <c:showLegendKey val="0"/>
              <c:showVal val="0"/>
              <c:showCatName val="1"/>
              <c:showSerName val="0"/>
              <c:showPercent val="1"/>
              <c:showBubbleSize val="1"/>
            </c:dLbl>
            <c:dLbl>
              <c:idx val="3"/>
              <c:numFmt formatCode="0.0%" sourceLinked="0"/>
              <c:spPr/>
              <c:txPr>
                <a:bodyPr/>
                <a:lstStyle/>
                <a:p>
                  <a:pPr>
                    <a:defRPr sz="1000">
                      <a:solidFill>
                        <a:schemeClr val="tx1"/>
                      </a:solidFill>
                      <a:latin typeface="Gill Sans MT"/>
                    </a:defRPr>
                  </a:pPr>
                  <a:endParaRPr lang="en-US"/>
                </a:p>
              </c:txPr>
              <c:dLblPos val="outEnd"/>
              <c:showLegendKey val="0"/>
              <c:showVal val="0"/>
              <c:showCatName val="1"/>
              <c:showSerName val="0"/>
              <c:showPercent val="1"/>
              <c:showBubbleSize val="1"/>
            </c:dLbl>
            <c:numFmt formatCode="0.0%" sourceLinked="0"/>
            <c:txPr>
              <a:bodyPr/>
              <a:lstStyle/>
              <a:p>
                <a:pPr>
                  <a:defRPr sz="1800"/>
                </a:pPr>
                <a:endParaRPr lang="en-US"/>
              </a:p>
            </c:txPr>
            <c:dLblPos val="outEnd"/>
            <c:showLegendKey val="0"/>
            <c:showVal val="0"/>
            <c:showCatName val="1"/>
            <c:showSerName val="0"/>
            <c:showPercent val="1"/>
            <c:showBubbleSize val="1"/>
            <c:showLeaderLines val="0"/>
          </c:dLbls>
          <c:cat>
            <c:strRef>
              <c:f>data_lepbyfb!$H$8:$K$8</c:f>
              <c:strCache>
                <c:ptCount val="4"/>
                <c:pt idx="0">
                  <c:v>US-born, English proficient</c:v>
                </c:pt>
                <c:pt idx="1">
                  <c:v>US-born, limited English proficient</c:v>
                </c:pt>
                <c:pt idx="2">
                  <c:v>Foreign-born, limited English proficient</c:v>
                </c:pt>
                <c:pt idx="3">
                  <c:v>Foreign-born, English proficient</c:v>
                </c:pt>
              </c:strCache>
            </c:strRef>
          </c:cat>
          <c:val>
            <c:numRef>
              <c:f>data_lepbyfb!$H$9:$K$9</c:f>
              <c:numCache>
                <c:formatCode>General</c:formatCode>
                <c:ptCount val="4"/>
                <c:pt idx="0">
                  <c:v>0.30722300000000002</c:v>
                </c:pt>
                <c:pt idx="1">
                  <c:v>4.6309999999999997E-2</c:v>
                </c:pt>
                <c:pt idx="2">
                  <c:v>0.26894299999999999</c:v>
                </c:pt>
                <c:pt idx="3">
                  <c:v>0.377525</c:v>
                </c:pt>
              </c:numCache>
            </c:numRef>
          </c:val>
        </c:ser>
        <c:dLbls>
          <c:showLegendKey val="1"/>
          <c:showVal val="1"/>
          <c:showCatName val="1"/>
          <c:showSerName val="1"/>
          <c:showPercent val="1"/>
          <c:showBubbleSize val="1"/>
          <c:showLeaderLines val="0"/>
        </c:dLbls>
        <c:firstSliceAng val="135"/>
      </c:pieChart>
    </c:plotArea>
    <c:plotVisOnly val="1"/>
    <c:dispBlanksAs val="zero"/>
    <c:showDLblsOverMax val="1"/>
  </c:chart>
  <c:spPr>
    <a:ln>
      <a:noFill/>
    </a:ln>
  </c:sp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c:style val="2"/>
  <c:chart>
    <c:autoTitleDeleted val="1"/>
    <c:plotArea>
      <c:layout>
        <c:manualLayout>
          <c:layoutTarget val="inner"/>
          <c:xMode val="edge"/>
          <c:yMode val="edge"/>
          <c:x val="5.5901912270730901E-2"/>
          <c:y val="0.12669529447505201"/>
          <c:w val="0.91937647900964203"/>
          <c:h val="0.76060747880967405"/>
        </c:manualLayout>
      </c:layout>
      <c:barChart>
        <c:barDir val="col"/>
        <c:grouping val="stacked"/>
        <c:varyColors val="1"/>
        <c:ser>
          <c:idx val="0"/>
          <c:order val="0"/>
          <c:tx>
            <c:strRef>
              <c:f>'data lep by lang'!$F$3</c:f>
              <c:strCache>
                <c:ptCount val="1"/>
                <c:pt idx="0">
                  <c:v>Limited English proficient</c:v>
                </c:pt>
              </c:strCache>
            </c:strRef>
          </c:tx>
          <c:spPr>
            <a:solidFill>
              <a:srgbClr val="96C9E6"/>
            </a:solidFill>
          </c:spPr>
          <c:invertIfNegative val="1"/>
          <c:dLbls>
            <c:numFmt formatCode="0.0%" sourceLinked="0"/>
            <c:txPr>
              <a:bodyPr/>
              <a:lstStyle/>
              <a:p>
                <a:pPr>
                  <a:defRPr sz="1000">
                    <a:latin typeface="Gill Sans MT"/>
                    <a:cs typeface="Gill Sans MT"/>
                  </a:defRPr>
                </a:pPr>
                <a:endParaRPr lang="en-US"/>
              </a:p>
            </c:txPr>
            <c:dLblPos val="ctr"/>
            <c:showLegendKey val="0"/>
            <c:showVal val="1"/>
            <c:showCatName val="0"/>
            <c:showSerName val="0"/>
            <c:showPercent val="1"/>
            <c:showBubbleSize val="1"/>
            <c:showLeaderLines val="0"/>
          </c:dLbls>
          <c:cat>
            <c:multiLvlStrRef>
              <c:f>'data lep by lang'!$A$4:$B$9</c:f>
              <c:multiLvlStrCache>
                <c:ptCount val="6"/>
                <c:lvl>
                  <c:pt idx="0">
                    <c:v>All languages</c:v>
                  </c:pt>
                  <c:pt idx="1">
                    <c:v>Spanish </c:v>
                  </c:pt>
                  <c:pt idx="2">
                    <c:v>French</c:v>
                  </c:pt>
                  <c:pt idx="3">
                    <c:v>Amharic / Ethiopian </c:v>
                  </c:pt>
                  <c:pt idx="4">
                    <c:v>German</c:v>
                  </c:pt>
                  <c:pt idx="5">
                    <c:v>Chinese </c:v>
                  </c:pt>
                </c:lvl>
                <c:lvl>
                  <c:pt idx="0">
                    <c:v>(N=83,568)</c:v>
                  </c:pt>
                  <c:pt idx="1">
                    <c:v>(N=41,477)</c:v>
                  </c:pt>
                  <c:pt idx="2">
                    <c:v>(N=7,645)</c:v>
                  </c:pt>
                  <c:pt idx="3">
                    <c:v>(N= 5,202)</c:v>
                  </c:pt>
                  <c:pt idx="4">
                    <c:v>(N=2,997)</c:v>
                  </c:pt>
                  <c:pt idx="5">
                    <c:v>(N=2,310)</c:v>
                  </c:pt>
                </c:lvl>
              </c:multiLvlStrCache>
            </c:multiLvlStrRef>
          </c:cat>
          <c:val>
            <c:numRef>
              <c:f>'data lep by lang'!$F$4:$F$9</c:f>
              <c:numCache>
                <c:formatCode>0.0%</c:formatCode>
                <c:ptCount val="6"/>
                <c:pt idx="0">
                  <c:v>0.31530000000000002</c:v>
                </c:pt>
                <c:pt idx="1">
                  <c:v>0.38640000000000002</c:v>
                </c:pt>
                <c:pt idx="2">
                  <c:v>0.16819999999999999</c:v>
                </c:pt>
                <c:pt idx="3">
                  <c:v>0.49519999999999997</c:v>
                </c:pt>
                <c:pt idx="4">
                  <c:v>0.14680000000000001</c:v>
                </c:pt>
                <c:pt idx="5">
                  <c:v>0.3589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'data lep by lang'!$G$3</c:f>
              <c:strCache>
                <c:ptCount val="1"/>
                <c:pt idx="0">
                  <c:v>English proficient</c:v>
                </c:pt>
              </c:strCache>
            </c:strRef>
          </c:tx>
          <c:spPr>
            <a:solidFill>
              <a:srgbClr val="3090C4"/>
            </a:solidFill>
          </c:spPr>
          <c:invertIfNegative val="1"/>
          <c:dLbls>
            <c:numFmt formatCode="0.0" sourceLinked="0"/>
            <c:txPr>
              <a:bodyPr/>
              <a:lstStyle/>
              <a:p>
                <a:pPr>
                  <a:defRPr sz="1000">
                    <a:solidFill>
                      <a:schemeClr val="bg1"/>
                    </a:solidFill>
                    <a:latin typeface="Gill Sans MT"/>
                    <a:cs typeface="Gill Sans MT"/>
                  </a:defRPr>
                </a:pPr>
                <a:endParaRPr lang="en-US"/>
              </a:p>
            </c:txPr>
            <c:showLegendKey val="0"/>
            <c:showVal val="1"/>
            <c:showCatName val="0"/>
            <c:showSerName val="0"/>
            <c:showPercent val="1"/>
            <c:showBubbleSize val="1"/>
            <c:showLeaderLines val="0"/>
          </c:dLbls>
          <c:cat>
            <c:multiLvlStrRef>
              <c:f>'data lep by lang'!$A$4:$B$9</c:f>
              <c:multiLvlStrCache>
                <c:ptCount val="6"/>
                <c:lvl>
                  <c:pt idx="0">
                    <c:v>All languages</c:v>
                  </c:pt>
                  <c:pt idx="1">
                    <c:v>Spanish </c:v>
                  </c:pt>
                  <c:pt idx="2">
                    <c:v>French</c:v>
                  </c:pt>
                  <c:pt idx="3">
                    <c:v>Amharic / Ethiopian </c:v>
                  </c:pt>
                  <c:pt idx="4">
                    <c:v>German</c:v>
                  </c:pt>
                  <c:pt idx="5">
                    <c:v>Chinese </c:v>
                  </c:pt>
                </c:lvl>
                <c:lvl>
                  <c:pt idx="0">
                    <c:v>(N=83,568)</c:v>
                  </c:pt>
                  <c:pt idx="1">
                    <c:v>(N=41,477)</c:v>
                  </c:pt>
                  <c:pt idx="2">
                    <c:v>(N=7,645)</c:v>
                  </c:pt>
                  <c:pt idx="3">
                    <c:v>(N= 5,202)</c:v>
                  </c:pt>
                  <c:pt idx="4">
                    <c:v>(N=2,997)</c:v>
                  </c:pt>
                  <c:pt idx="5">
                    <c:v>(N=2,310)</c:v>
                  </c:pt>
                </c:lvl>
              </c:multiLvlStrCache>
            </c:multiLvlStrRef>
          </c:cat>
          <c:val>
            <c:numRef>
              <c:f>'data lep by lang'!$G$4:$G$9</c:f>
              <c:numCache>
                <c:formatCode>0.0%</c:formatCode>
                <c:ptCount val="6"/>
                <c:pt idx="0">
                  <c:v>0.68469999999999998</c:v>
                </c:pt>
                <c:pt idx="1">
                  <c:v>0.61360000000000003</c:v>
                </c:pt>
                <c:pt idx="2">
                  <c:v>0.83179999999999998</c:v>
                </c:pt>
                <c:pt idx="3">
                  <c:v>0.50480000000000003</c:v>
                </c:pt>
                <c:pt idx="4">
                  <c:v>0.85319999999999996</c:v>
                </c:pt>
                <c:pt idx="5">
                  <c:v>0.6411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40"/>
        <c:overlap val="100"/>
        <c:axId val="202433280"/>
        <c:axId val="202434816"/>
      </c:barChart>
      <c:catAx>
        <c:axId val="202433280"/>
        <c:scaling>
          <c:orientation val="minMax"/>
        </c:scaling>
        <c:delete val="0"/>
        <c:axPos val="b"/>
        <c:majorTickMark val="none"/>
        <c:minorTickMark val="none"/>
        <c:tickLblPos val="nextTo"/>
        <c:spPr>
          <a:ln>
            <a:solidFill>
              <a:schemeClr val="bg1">
                <a:lumMod val="65000"/>
              </a:schemeClr>
            </a:solidFill>
          </a:ln>
        </c:spPr>
        <c:txPr>
          <a:bodyPr/>
          <a:lstStyle/>
          <a:p>
            <a:pPr>
              <a:defRPr sz="900" baseline="0">
                <a:latin typeface="Gill Sans MT"/>
              </a:defRPr>
            </a:pPr>
            <a:endParaRPr lang="en-US"/>
          </a:p>
        </c:txPr>
        <c:crossAx val="202434816"/>
        <c:crosses val="autoZero"/>
        <c:auto val="1"/>
        <c:lblAlgn val="ctr"/>
        <c:lblOffset val="100"/>
        <c:noMultiLvlLbl val="1"/>
      </c:catAx>
      <c:valAx>
        <c:axId val="202434816"/>
        <c:scaling>
          <c:orientation val="minMax"/>
          <c:max val="1"/>
        </c:scaling>
        <c:delete val="1"/>
        <c:axPos val="l"/>
        <c:numFmt formatCode="0%" sourceLinked="0"/>
        <c:majorTickMark val="none"/>
        <c:minorTickMark val="cross"/>
        <c:tickLblPos val="nextTo"/>
        <c:crossAx val="202433280"/>
        <c:crosses val="autoZero"/>
        <c:crossBetween val="between"/>
      </c:valAx>
    </c:plotArea>
    <c:legend>
      <c:legendPos val="t"/>
      <c:layout/>
      <c:overlay val="1"/>
      <c:txPr>
        <a:bodyPr/>
        <a:lstStyle/>
        <a:p>
          <a:pPr>
            <a:defRPr sz="1000">
              <a:latin typeface="Gill Sans MT"/>
              <a:cs typeface="Gill Sans MT"/>
            </a:defRPr>
          </a:pPr>
          <a:endParaRPr lang="en-US"/>
        </a:p>
      </c:txPr>
    </c:legend>
    <c:plotVisOnly val="1"/>
    <c:dispBlanksAs val="gap"/>
    <c:showDLblsOverMax val="1"/>
  </c:chart>
  <c:spPr>
    <a:ln>
      <a:noFill/>
    </a:ln>
  </c:spPr>
  <c:txPr>
    <a:bodyPr/>
    <a:lstStyle/>
    <a:p>
      <a:pPr>
        <a:defRPr sz="1600"/>
      </a:pPr>
      <a:endParaRPr lang="en-US"/>
    </a:p>
  </c:txPr>
  <c:externalData r:id="rId1">
    <c:autoUpdate val="1"/>
  </c:externalData>
</c:chartSpace>
</file>

<file path=word/drawings/drawing1.xml><?xml version="1.0" encoding="utf-8"?>
<c:userShapes xmlns:c="http://schemas.openxmlformats.org/drawingml/2006/chart">
  <cdr:relSizeAnchor xmlns:cdr="http://schemas.openxmlformats.org/drawingml/2006/chartDrawing">
    <cdr:from>
      <cdr:x>0.87341</cdr:x>
      <cdr:y>0.10397</cdr:y>
    </cdr:from>
    <cdr:to>
      <cdr:x>0.95758</cdr:x>
      <cdr:y>0.19413</cdr:y>
    </cdr:to>
    <cdr:sp macro="" textlink="">
      <cdr:nvSpPr>
        <cdr:cNvPr id="2" name="Text Box 1"/>
        <cdr:cNvSpPr txBox="1"/>
      </cdr:nvSpPr>
      <cdr:spPr>
        <a:xfrm xmlns:a="http://schemas.openxmlformats.org/drawingml/2006/main">
          <a:off x="5086596" y="277823"/>
          <a:ext cx="476907" cy="286719"/>
        </a:xfrm>
        <a:prstGeom xmlns:a="http://schemas.openxmlformats.org/drawingml/2006/main" prst="rect">
          <a:avLst/>
        </a:prstGeom>
      </cdr:spPr>
      <cdr:txBody>
        <a:bodyPr xmlns:a="http://schemas.openxmlformats.org/drawingml/2006/main" vertOverflow="clip" wrap="square" lIns="0" tIns="0" rIns="0" bIns="0" rtlCol="0">
          <a:noAutofit/>
        </a:bodyPr>
        <a:lstStyle xmlns:a="http://schemas.openxmlformats.org/drawingml/2006/main"/>
        <a:p xmlns:a="http://schemas.openxmlformats.org/drawingml/2006/main">
          <a:r>
            <a:rPr lang="en-US" sz="900">
              <a:latin typeface="Gill Sans MT" panose="020B0502020104020203" pitchFamily="34" charset="0"/>
            </a:rPr>
            <a:t>Latin America</a:t>
          </a:r>
        </a:p>
      </cdr:txBody>
    </cdr:sp>
  </cdr:relSizeAnchor>
  <cdr:relSizeAnchor xmlns:cdr="http://schemas.openxmlformats.org/drawingml/2006/chartDrawing">
    <cdr:from>
      <cdr:x>0.87258</cdr:x>
      <cdr:y>0.46068</cdr:y>
    </cdr:from>
    <cdr:to>
      <cdr:x>0.95674</cdr:x>
      <cdr:y>0.53839</cdr:y>
    </cdr:to>
    <cdr:sp macro="" textlink="">
      <cdr:nvSpPr>
        <cdr:cNvPr id="3" name="Text Box 1"/>
        <cdr:cNvSpPr txBox="1"/>
      </cdr:nvSpPr>
      <cdr:spPr>
        <a:xfrm xmlns:a="http://schemas.openxmlformats.org/drawingml/2006/main">
          <a:off x="5083975" y="1545646"/>
          <a:ext cx="477079" cy="267766"/>
        </a:xfrm>
        <a:prstGeom xmlns:a="http://schemas.openxmlformats.org/drawingml/2006/main" prst="rect">
          <a:avLst/>
        </a:prstGeom>
      </cdr:spPr>
    </cdr:sp>
  </cdr:relSizeAnchor>
  <cdr:relSizeAnchor xmlns:cdr="http://schemas.openxmlformats.org/drawingml/2006/chartDrawing">
    <cdr:from>
      <cdr:x>0.87478</cdr:x>
      <cdr:y>0.52919</cdr:y>
    </cdr:from>
    <cdr:to>
      <cdr:x>0.97289</cdr:x>
      <cdr:y>0.57957</cdr:y>
    </cdr:to>
    <cdr:sp macro="" textlink="">
      <cdr:nvSpPr>
        <cdr:cNvPr id="4" name="Text Box 3"/>
        <cdr:cNvSpPr txBox="1"/>
      </cdr:nvSpPr>
      <cdr:spPr>
        <a:xfrm xmlns:a="http://schemas.openxmlformats.org/drawingml/2006/main">
          <a:off x="5107687" y="1406309"/>
          <a:ext cx="572847" cy="133883"/>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r>
            <a:rPr lang="en-US" sz="900">
              <a:latin typeface="Gill Sans MT" panose="020B0502020104020203" pitchFamily="34" charset="0"/>
            </a:rPr>
            <a:t>Asia</a:t>
          </a:r>
        </a:p>
      </cdr:txBody>
    </cdr:sp>
  </cdr:relSizeAnchor>
  <cdr:relSizeAnchor xmlns:cdr="http://schemas.openxmlformats.org/drawingml/2006/chartDrawing">
    <cdr:from>
      <cdr:x>0.87752</cdr:x>
      <cdr:y>0.5795</cdr:y>
    </cdr:from>
    <cdr:to>
      <cdr:x>0.96305</cdr:x>
      <cdr:y>0.62988</cdr:y>
    </cdr:to>
    <cdr:sp macro="" textlink="">
      <cdr:nvSpPr>
        <cdr:cNvPr id="5" name="Text Box 4"/>
        <cdr:cNvSpPr txBox="1"/>
      </cdr:nvSpPr>
      <cdr:spPr>
        <a:xfrm xmlns:a="http://schemas.openxmlformats.org/drawingml/2006/main">
          <a:off x="5123686" y="1540007"/>
          <a:ext cx="499394" cy="133883"/>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r>
            <a:rPr lang="en-US" sz="900">
              <a:latin typeface="Gill Sans MT" panose="020B0502020104020203" pitchFamily="34" charset="0"/>
            </a:rPr>
            <a:t>Africa</a:t>
          </a:r>
        </a:p>
      </cdr:txBody>
    </cdr:sp>
  </cdr:relSizeAnchor>
  <cdr:relSizeAnchor xmlns:cdr="http://schemas.openxmlformats.org/drawingml/2006/chartDrawing">
    <cdr:from>
      <cdr:x>0.87478</cdr:x>
      <cdr:y>0.62552</cdr:y>
    </cdr:from>
    <cdr:to>
      <cdr:x>0.94201</cdr:x>
      <cdr:y>0.6759</cdr:y>
    </cdr:to>
    <cdr:sp macro="" textlink="">
      <cdr:nvSpPr>
        <cdr:cNvPr id="6" name="Text Box 5"/>
        <cdr:cNvSpPr txBox="1"/>
      </cdr:nvSpPr>
      <cdr:spPr>
        <a:xfrm xmlns:a="http://schemas.openxmlformats.org/drawingml/2006/main">
          <a:off x="5107687" y="1662304"/>
          <a:ext cx="392545" cy="133883"/>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r>
            <a:rPr lang="en-US" sz="900">
              <a:latin typeface="Gill Sans MT" panose="020B0502020104020203" pitchFamily="34" charset="0"/>
            </a:rPr>
            <a:t>Europe</a:t>
          </a:r>
        </a:p>
      </cdr:txBody>
    </cdr:sp>
  </cdr:relSizeAnchor>
  <cdr:relSizeAnchor xmlns:cdr="http://schemas.openxmlformats.org/drawingml/2006/chartDrawing">
    <cdr:from>
      <cdr:x>0.8778</cdr:x>
      <cdr:y>0.81544</cdr:y>
    </cdr:from>
    <cdr:to>
      <cdr:x>0.97616</cdr:x>
      <cdr:y>0.86582</cdr:y>
    </cdr:to>
    <cdr:sp macro="" textlink="">
      <cdr:nvSpPr>
        <cdr:cNvPr id="7" name="Text Box 6"/>
        <cdr:cNvSpPr txBox="1"/>
      </cdr:nvSpPr>
      <cdr:spPr>
        <a:xfrm xmlns:a="http://schemas.openxmlformats.org/drawingml/2006/main">
          <a:off x="5125321" y="2167011"/>
          <a:ext cx="574306" cy="133883"/>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r>
            <a:rPr lang="en-US" sz="900">
              <a:latin typeface="Gill Sans MT" panose="020B0502020104020203" pitchFamily="34" charset="0"/>
            </a:rPr>
            <a:t>Other</a:t>
          </a:r>
        </a:p>
      </cdr:txBody>
    </cdr:sp>
  </cdr:relSizeAnchor>
</c:userShapes>
</file>

<file path=word/drawings/drawing2.xml><?xml version="1.0" encoding="utf-8"?>
<c:userShapes xmlns:c="http://schemas.openxmlformats.org/drawingml/2006/chart">
  <cdr:relSizeAnchor xmlns:cdr="http://schemas.openxmlformats.org/drawingml/2006/chartDrawing">
    <cdr:from>
      <cdr:x>0.44665</cdr:x>
      <cdr:y>0.00306</cdr:y>
    </cdr:from>
    <cdr:to>
      <cdr:x>0.60553</cdr:x>
      <cdr:y>0.0443</cdr:y>
    </cdr:to>
    <cdr:sp macro="" textlink="">
      <cdr:nvSpPr>
        <cdr:cNvPr id="3" name="Text Box 2"/>
        <cdr:cNvSpPr txBox="1"/>
      </cdr:nvSpPr>
      <cdr:spPr>
        <a:xfrm xmlns:a="http://schemas.openxmlformats.org/drawingml/2006/main">
          <a:off x="2450507" y="11414"/>
          <a:ext cx="871671" cy="153888"/>
        </a:xfrm>
        <a:prstGeom xmlns:a="http://schemas.openxmlformats.org/drawingml/2006/main" prst="rect">
          <a:avLst/>
        </a:prstGeom>
      </cdr:spPr>
      <cdr:txBody>
        <a:bodyPr xmlns:a="http://schemas.openxmlformats.org/drawingml/2006/main" vertOverflow="clip" wrap="square" lIns="0" tIns="0" rIns="0" bIns="0" rtlCol="0" anchor="ctr" anchorCtr="0">
          <a:spAutoFit/>
        </a:bodyPr>
        <a:lstStyle xmlns:a="http://schemas.openxmlformats.org/drawingml/2006/main"/>
        <a:p xmlns:a="http://schemas.openxmlformats.org/drawingml/2006/main">
          <a:pPr algn="ctr"/>
          <a:r>
            <a:rPr lang="en-US" sz="1000" i="1">
              <a:effectLst/>
              <a:latin typeface="Gill Sans MT"/>
              <a:ea typeface="+mn-ea"/>
              <a:cs typeface="Gill Sans MT"/>
            </a:rPr>
            <a:t>N=26,373</a:t>
          </a:r>
          <a:r>
            <a:rPr lang="en-US" sz="1000" i="1">
              <a:effectLst/>
              <a:latin typeface="Gill Sans MT"/>
              <a:cs typeface="Gill Sans MT"/>
            </a:rPr>
            <a:t> </a:t>
          </a:r>
          <a:endParaRPr lang="en-US" sz="1000" i="1">
            <a:latin typeface="Gill Sans MT"/>
            <a:cs typeface="Gill Sans M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0.15416</cdr:x>
      <cdr:y>0.04444</cdr:y>
    </cdr:from>
    <cdr:to>
      <cdr:x>0.26083</cdr:x>
      <cdr:y>0.10693</cdr:y>
    </cdr:to>
    <cdr:sp macro="" textlink="">
      <cdr:nvSpPr>
        <cdr:cNvPr id="2" name="TextBox 1"/>
        <cdr:cNvSpPr txBox="1"/>
      </cdr:nvSpPr>
      <cdr:spPr>
        <a:xfrm xmlns:a="http://schemas.openxmlformats.org/drawingml/2006/main">
          <a:off x="916285" y="162544"/>
          <a:ext cx="634003" cy="22856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0">
              <a:latin typeface="Gill Sans MT"/>
              <a:cs typeface="Gill Sans MT"/>
            </a:rPr>
            <a:t>Citizen</a:t>
          </a:r>
        </a:p>
      </cdr:txBody>
    </cdr:sp>
  </cdr:relSizeAnchor>
  <cdr:relSizeAnchor xmlns:cdr="http://schemas.openxmlformats.org/drawingml/2006/chartDrawing">
    <cdr:from>
      <cdr:x>0.62089</cdr:x>
      <cdr:y>0.03713</cdr:y>
    </cdr:from>
    <cdr:to>
      <cdr:x>0.78027</cdr:x>
      <cdr:y>0.10505</cdr:y>
    </cdr:to>
    <cdr:sp macro="" textlink="">
      <cdr:nvSpPr>
        <cdr:cNvPr id="3" name="TextBox 1"/>
        <cdr:cNvSpPr txBox="1"/>
      </cdr:nvSpPr>
      <cdr:spPr>
        <a:xfrm xmlns:a="http://schemas.openxmlformats.org/drawingml/2006/main">
          <a:off x="3690340" y="135819"/>
          <a:ext cx="947291" cy="2484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0">
              <a:latin typeface="Gill Sans MT"/>
              <a:cs typeface="Gill Sans MT"/>
            </a:rPr>
            <a:t>Noncitizen</a:t>
          </a:r>
        </a:p>
      </cdr:txBody>
    </cdr:sp>
  </cdr:relSizeAnchor>
  <cdr:relSizeAnchor xmlns:cdr="http://schemas.openxmlformats.org/drawingml/2006/chartDrawing">
    <cdr:from>
      <cdr:x>0.21084</cdr:x>
      <cdr:y>0.65586</cdr:y>
    </cdr:from>
    <cdr:to>
      <cdr:x>0.30252</cdr:x>
      <cdr:y>0.72848</cdr:y>
    </cdr:to>
    <cdr:sp macro="" textlink="">
      <cdr:nvSpPr>
        <cdr:cNvPr id="4" name="TextBox 1"/>
        <cdr:cNvSpPr txBox="1"/>
      </cdr:nvSpPr>
      <cdr:spPr>
        <a:xfrm xmlns:a="http://schemas.openxmlformats.org/drawingml/2006/main">
          <a:off x="1253168" y="2398874"/>
          <a:ext cx="544909" cy="26561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0">
              <a:latin typeface="Gill Sans MT"/>
              <a:cs typeface="Gill Sans MT"/>
            </a:rPr>
            <a:t>Male</a:t>
          </a:r>
        </a:p>
      </cdr:txBody>
    </cdr:sp>
  </cdr:relSizeAnchor>
  <cdr:relSizeAnchor xmlns:cdr="http://schemas.openxmlformats.org/drawingml/2006/chartDrawing">
    <cdr:from>
      <cdr:x>0.68194</cdr:x>
      <cdr:y>0.65699</cdr:y>
    </cdr:from>
    <cdr:to>
      <cdr:x>0.79387</cdr:x>
      <cdr:y>0.72325</cdr:y>
    </cdr:to>
    <cdr:sp macro="" textlink="">
      <cdr:nvSpPr>
        <cdr:cNvPr id="5" name="TextBox 1"/>
        <cdr:cNvSpPr txBox="1"/>
      </cdr:nvSpPr>
      <cdr:spPr>
        <a:xfrm xmlns:a="http://schemas.openxmlformats.org/drawingml/2006/main">
          <a:off x="4053176" y="2403007"/>
          <a:ext cx="665267" cy="24235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0">
              <a:latin typeface="Gill Sans MT"/>
              <a:cs typeface="Gill Sans MT"/>
            </a:rPr>
            <a:t>Female</a:t>
          </a:r>
        </a:p>
      </cdr:txBody>
    </cdr:sp>
  </cdr:relSizeAnchor>
  <cdr:relSizeAnchor xmlns:cdr="http://schemas.openxmlformats.org/drawingml/2006/chartDrawing">
    <cdr:from>
      <cdr:x>0.00488</cdr:x>
      <cdr:y>0.30216</cdr:y>
    </cdr:from>
    <cdr:to>
      <cdr:x>0.09227</cdr:x>
      <cdr:y>0.3524</cdr:y>
    </cdr:to>
    <cdr:sp macro="" textlink="">
      <cdr:nvSpPr>
        <cdr:cNvPr id="6" name="TextBox 1"/>
        <cdr:cNvSpPr txBox="1"/>
      </cdr:nvSpPr>
      <cdr:spPr>
        <a:xfrm xmlns:a="http://schemas.openxmlformats.org/drawingml/2006/main">
          <a:off x="29024" y="1105184"/>
          <a:ext cx="519411" cy="1837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0">
              <a:latin typeface="Gill Sans MT"/>
              <a:cs typeface="Gill Sans MT"/>
            </a:rPr>
            <a:t>Age 5-17</a:t>
          </a:r>
        </a:p>
      </cdr:txBody>
    </cdr:sp>
  </cdr:relSizeAnchor>
  <cdr:relSizeAnchor xmlns:cdr="http://schemas.openxmlformats.org/drawingml/2006/chartDrawing">
    <cdr:from>
      <cdr:x>0.44679</cdr:x>
      <cdr:y>0.31725</cdr:y>
    </cdr:from>
    <cdr:to>
      <cdr:x>0.54935</cdr:x>
      <cdr:y>0.38966</cdr:y>
    </cdr:to>
    <cdr:sp macro="" textlink="">
      <cdr:nvSpPr>
        <cdr:cNvPr id="7" name="TextBox 1"/>
        <cdr:cNvSpPr txBox="1"/>
      </cdr:nvSpPr>
      <cdr:spPr>
        <a:xfrm xmlns:a="http://schemas.openxmlformats.org/drawingml/2006/main">
          <a:off x="2655563" y="1160390"/>
          <a:ext cx="609576" cy="26484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b="0">
              <a:latin typeface="Gill Sans MT"/>
              <a:cs typeface="Gill Sans MT"/>
            </a:rPr>
            <a:t>Age 18-64</a:t>
          </a:r>
        </a:p>
      </cdr:txBody>
    </cdr:sp>
  </cdr:relSizeAnchor>
  <cdr:relSizeAnchor xmlns:cdr="http://schemas.openxmlformats.org/drawingml/2006/chartDrawing">
    <cdr:from>
      <cdr:x>0.88603</cdr:x>
      <cdr:y>0.29643</cdr:y>
    </cdr:from>
    <cdr:to>
      <cdr:x>0.9956</cdr:x>
      <cdr:y>0.43571</cdr:y>
    </cdr:to>
    <cdr:sp macro="" textlink="">
      <cdr:nvSpPr>
        <cdr:cNvPr id="8" name="TextBox 1"/>
        <cdr:cNvSpPr txBox="1"/>
      </cdr:nvSpPr>
      <cdr:spPr>
        <a:xfrm xmlns:a="http://schemas.openxmlformats.org/drawingml/2006/main">
          <a:off x="5422619" y="1084218"/>
          <a:ext cx="670582" cy="509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0">
              <a:latin typeface="Gill Sans MT"/>
              <a:cs typeface="Gill Sans MT"/>
            </a:rPr>
            <a:t>Age</a:t>
          </a:r>
          <a:r>
            <a:rPr lang="en-US" sz="1000" b="0" baseline="0">
              <a:latin typeface="Gill Sans MT"/>
              <a:cs typeface="Gill Sans MT"/>
            </a:rPr>
            <a:t> </a:t>
          </a:r>
          <a:r>
            <a:rPr lang="en-US" sz="1000" b="0">
              <a:latin typeface="Gill Sans MT"/>
              <a:cs typeface="Gill Sans MT"/>
            </a:rPr>
            <a:t>64 and older</a:t>
          </a:r>
        </a:p>
      </cdr:txBody>
    </cdr:sp>
  </cdr:relSizeAnchor>
</c:userShapes>
</file>

<file path=word/drawings/drawing4.xml><?xml version="1.0" encoding="utf-8"?>
<c:userShapes xmlns:c="http://schemas.openxmlformats.org/drawingml/2006/chart">
  <cdr:relSizeAnchor xmlns:cdr="http://schemas.openxmlformats.org/drawingml/2006/chartDrawing">
    <cdr:from>
      <cdr:x>0.16158</cdr:x>
      <cdr:y>0.5192</cdr:y>
    </cdr:from>
    <cdr:to>
      <cdr:x>0.26517</cdr:x>
      <cdr:y>0.57109</cdr:y>
    </cdr:to>
    <cdr:sp macro="" textlink="">
      <cdr:nvSpPr>
        <cdr:cNvPr id="2" name="TextBox 3"/>
        <cdr:cNvSpPr txBox="1"/>
      </cdr:nvSpPr>
      <cdr:spPr>
        <a:xfrm xmlns:a="http://schemas.openxmlformats.org/drawingml/2006/main">
          <a:off x="974448" y="1897698"/>
          <a:ext cx="624709" cy="18966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Married</a:t>
          </a:r>
        </a:p>
      </cdr:txBody>
    </cdr:sp>
  </cdr:relSizeAnchor>
  <cdr:relSizeAnchor xmlns:cdr="http://schemas.openxmlformats.org/drawingml/2006/chartDrawing">
    <cdr:from>
      <cdr:x>0.61043</cdr:x>
      <cdr:y>0.5226</cdr:y>
    </cdr:from>
    <cdr:to>
      <cdr:x>0.79915</cdr:x>
      <cdr:y>0.56352</cdr:y>
    </cdr:to>
    <cdr:sp macro="" textlink="">
      <cdr:nvSpPr>
        <cdr:cNvPr id="3" name="TextBox 4"/>
        <cdr:cNvSpPr txBox="1"/>
      </cdr:nvSpPr>
      <cdr:spPr>
        <a:xfrm xmlns:a="http://schemas.openxmlformats.org/drawingml/2006/main">
          <a:off x="3681281" y="1910125"/>
          <a:ext cx="1138094" cy="14956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Not married</a:t>
          </a:r>
        </a:p>
      </cdr:txBody>
    </cdr:sp>
  </cdr:relSizeAnchor>
  <cdr:relSizeAnchor xmlns:cdr="http://schemas.openxmlformats.org/drawingml/2006/chartDrawing">
    <cdr:from>
      <cdr:x>0.21828</cdr:x>
      <cdr:y>0.28118</cdr:y>
    </cdr:from>
    <cdr:to>
      <cdr:x>0.48799</cdr:x>
      <cdr:y>0.32489</cdr:y>
    </cdr:to>
    <cdr:sp macro="" textlink="">
      <cdr:nvSpPr>
        <cdr:cNvPr id="4" name="TextBox 5"/>
        <cdr:cNvSpPr txBox="1"/>
      </cdr:nvSpPr>
      <cdr:spPr>
        <a:xfrm xmlns:a="http://schemas.openxmlformats.org/drawingml/2006/main">
          <a:off x="1316358" y="1027726"/>
          <a:ext cx="1626512" cy="1597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Linguistically</a:t>
          </a:r>
          <a:r>
            <a:rPr lang="en-US" sz="1000" b="0" baseline="0">
              <a:latin typeface="Gill Sans MT"/>
              <a:cs typeface="Gill Sans MT"/>
            </a:rPr>
            <a:t> isolated</a:t>
          </a:r>
          <a:endParaRPr lang="en-US" sz="1000" b="0">
            <a:latin typeface="Gill Sans MT"/>
            <a:cs typeface="Gill Sans MT"/>
          </a:endParaRPr>
        </a:p>
      </cdr:txBody>
    </cdr:sp>
  </cdr:relSizeAnchor>
  <cdr:relSizeAnchor xmlns:cdr="http://schemas.openxmlformats.org/drawingml/2006/chartDrawing">
    <cdr:from>
      <cdr:x>0.66848</cdr:x>
      <cdr:y>0.27809</cdr:y>
    </cdr:from>
    <cdr:to>
      <cdr:x>0.98285</cdr:x>
      <cdr:y>0.32341</cdr:y>
    </cdr:to>
    <cdr:sp macro="" textlink="">
      <cdr:nvSpPr>
        <cdr:cNvPr id="5" name="TextBox 6"/>
        <cdr:cNvSpPr txBox="1"/>
      </cdr:nvSpPr>
      <cdr:spPr>
        <a:xfrm xmlns:a="http://schemas.openxmlformats.org/drawingml/2006/main">
          <a:off x="4031332" y="1016432"/>
          <a:ext cx="1895838" cy="16564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Not linguistically</a:t>
          </a:r>
          <a:r>
            <a:rPr lang="en-US" sz="1000" b="0" baseline="0">
              <a:latin typeface="Gill Sans MT"/>
              <a:cs typeface="Gill Sans MT"/>
            </a:rPr>
            <a:t> isolated</a:t>
          </a:r>
          <a:endParaRPr lang="en-US" sz="1000" b="0">
            <a:latin typeface="Gill Sans MT"/>
            <a:cs typeface="Gill Sans MT"/>
          </a:endParaRPr>
        </a:p>
      </cdr:txBody>
    </cdr:sp>
  </cdr:relSizeAnchor>
  <cdr:relSizeAnchor xmlns:cdr="http://schemas.openxmlformats.org/drawingml/2006/chartDrawing">
    <cdr:from>
      <cdr:x>0.01733</cdr:x>
      <cdr:y>0.05043</cdr:y>
    </cdr:from>
    <cdr:to>
      <cdr:x>0.53867</cdr:x>
      <cdr:y>0.10536</cdr:y>
    </cdr:to>
    <cdr:sp macro="" textlink="">
      <cdr:nvSpPr>
        <cdr:cNvPr id="6" name="TextBox 7"/>
        <cdr:cNvSpPr txBox="1"/>
      </cdr:nvSpPr>
      <cdr:spPr>
        <a:xfrm xmlns:a="http://schemas.openxmlformats.org/drawingml/2006/main">
          <a:off x="103003" y="184341"/>
          <a:ext cx="3098636" cy="20077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No children</a:t>
          </a:r>
        </a:p>
      </cdr:txBody>
    </cdr:sp>
  </cdr:relSizeAnchor>
  <cdr:relSizeAnchor xmlns:cdr="http://schemas.openxmlformats.org/drawingml/2006/chartDrawing">
    <cdr:from>
      <cdr:x>0.54722</cdr:x>
      <cdr:y>0.06065</cdr:y>
    </cdr:from>
    <cdr:to>
      <cdr:x>0.74455</cdr:x>
      <cdr:y>0.08967</cdr:y>
    </cdr:to>
    <cdr:sp macro="" textlink="">
      <cdr:nvSpPr>
        <cdr:cNvPr id="7" name="TextBox 8"/>
        <cdr:cNvSpPr txBox="1"/>
      </cdr:nvSpPr>
      <cdr:spPr>
        <a:xfrm xmlns:a="http://schemas.openxmlformats.org/drawingml/2006/main">
          <a:off x="3252439" y="221695"/>
          <a:ext cx="1172851" cy="1060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1 child</a:t>
          </a:r>
        </a:p>
      </cdr:txBody>
    </cdr:sp>
  </cdr:relSizeAnchor>
  <cdr:relSizeAnchor xmlns:cdr="http://schemas.openxmlformats.org/drawingml/2006/chartDrawing">
    <cdr:from>
      <cdr:x>0.7547</cdr:x>
      <cdr:y>0.05522</cdr:y>
    </cdr:from>
    <cdr:to>
      <cdr:x>0.89476</cdr:x>
      <cdr:y>0.09757</cdr:y>
    </cdr:to>
    <cdr:sp macro="" textlink="">
      <cdr:nvSpPr>
        <cdr:cNvPr id="8" name="TextBox 9"/>
        <cdr:cNvSpPr txBox="1"/>
      </cdr:nvSpPr>
      <cdr:spPr>
        <a:xfrm xmlns:a="http://schemas.openxmlformats.org/drawingml/2006/main">
          <a:off x="4485619" y="201848"/>
          <a:ext cx="832460" cy="15479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2 children</a:t>
          </a:r>
        </a:p>
      </cdr:txBody>
    </cdr:sp>
  </cdr:relSizeAnchor>
  <cdr:relSizeAnchor xmlns:cdr="http://schemas.openxmlformats.org/drawingml/2006/chartDrawing">
    <cdr:from>
      <cdr:x>0.89522</cdr:x>
      <cdr:y>0.03702</cdr:y>
    </cdr:from>
    <cdr:to>
      <cdr:x>1</cdr:x>
      <cdr:y>0.08869</cdr:y>
    </cdr:to>
    <cdr:sp macro="" textlink="">
      <cdr:nvSpPr>
        <cdr:cNvPr id="9" name="TextBox 10"/>
        <cdr:cNvSpPr txBox="1"/>
      </cdr:nvSpPr>
      <cdr:spPr>
        <a:xfrm xmlns:a="http://schemas.openxmlformats.org/drawingml/2006/main">
          <a:off x="5398709" y="135295"/>
          <a:ext cx="631886" cy="18885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3+ children</a:t>
          </a:r>
        </a:p>
      </cdr:txBody>
    </cdr:sp>
  </cdr:relSizeAnchor>
  <cdr:relSizeAnchor xmlns:cdr="http://schemas.openxmlformats.org/drawingml/2006/chartDrawing">
    <cdr:from>
      <cdr:x>0.016</cdr:x>
      <cdr:y>0.74566</cdr:y>
    </cdr:from>
    <cdr:to>
      <cdr:x>0.24137</cdr:x>
      <cdr:y>0.79921</cdr:y>
    </cdr:to>
    <cdr:sp macro="" textlink="">
      <cdr:nvSpPr>
        <cdr:cNvPr id="10" name="TextBox 11"/>
        <cdr:cNvSpPr txBox="1"/>
      </cdr:nvSpPr>
      <cdr:spPr>
        <a:xfrm xmlns:a="http://schemas.openxmlformats.org/drawingml/2006/main">
          <a:off x="96490" y="2725423"/>
          <a:ext cx="1359115" cy="19572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Poor: below federal</a:t>
          </a:r>
          <a:r>
            <a:rPr lang="en-US" sz="1000" b="0" baseline="0">
              <a:latin typeface="Gill Sans MT"/>
              <a:cs typeface="Gill Sans MT"/>
            </a:rPr>
            <a:t> poverty level</a:t>
          </a:r>
          <a:endParaRPr lang="en-US" sz="1000" b="0">
            <a:latin typeface="Gill Sans MT"/>
            <a:cs typeface="Gill Sans MT"/>
          </a:endParaRPr>
        </a:p>
      </cdr:txBody>
    </cdr:sp>
  </cdr:relSizeAnchor>
  <cdr:relSizeAnchor xmlns:cdr="http://schemas.openxmlformats.org/drawingml/2006/chartDrawing">
    <cdr:from>
      <cdr:x>0.24133</cdr:x>
      <cdr:y>0.7232</cdr:y>
    </cdr:from>
    <cdr:to>
      <cdr:x>0.472</cdr:x>
      <cdr:y>0.81159</cdr:y>
    </cdr:to>
    <cdr:sp macro="" textlink="">
      <cdr:nvSpPr>
        <cdr:cNvPr id="11" name="TextBox 12"/>
        <cdr:cNvSpPr txBox="1"/>
      </cdr:nvSpPr>
      <cdr:spPr>
        <a:xfrm xmlns:a="http://schemas.openxmlformats.org/drawingml/2006/main">
          <a:off x="1455363" y="2643345"/>
          <a:ext cx="1391078" cy="3230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Low-income: 100-200% of federal poverty</a:t>
          </a:r>
          <a:r>
            <a:rPr lang="en-US" sz="1000" b="0" baseline="0">
              <a:latin typeface="Gill Sans MT"/>
              <a:cs typeface="Gill Sans MT"/>
            </a:rPr>
            <a:t> level</a:t>
          </a:r>
          <a:endParaRPr lang="en-US" sz="1000" b="0">
            <a:latin typeface="Gill Sans MT"/>
            <a:cs typeface="Gill Sans MT"/>
          </a:endParaRPr>
        </a:p>
      </cdr:txBody>
    </cdr:sp>
  </cdr:relSizeAnchor>
  <cdr:relSizeAnchor xmlns:cdr="http://schemas.openxmlformats.org/drawingml/2006/chartDrawing">
    <cdr:from>
      <cdr:x>0.47333</cdr:x>
      <cdr:y>0.77002</cdr:y>
    </cdr:from>
    <cdr:to>
      <cdr:x>0.96875</cdr:x>
      <cdr:y>0.8042</cdr:y>
    </cdr:to>
    <cdr:sp macro="" textlink="">
      <cdr:nvSpPr>
        <cdr:cNvPr id="12" name="TextBox 13"/>
        <cdr:cNvSpPr txBox="1"/>
      </cdr:nvSpPr>
      <cdr:spPr>
        <a:xfrm xmlns:a="http://schemas.openxmlformats.org/drawingml/2006/main">
          <a:off x="2854462" y="2814458"/>
          <a:ext cx="2987677" cy="12493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000" b="0">
              <a:latin typeface="Gill Sans MT"/>
              <a:cs typeface="Gill Sans MT"/>
            </a:rPr>
            <a:t>At least 200%</a:t>
          </a:r>
          <a:r>
            <a:rPr lang="en-US" sz="1000" b="0" baseline="0">
              <a:latin typeface="Gill Sans MT"/>
              <a:cs typeface="Gill Sans MT"/>
            </a:rPr>
            <a:t> of federal poverty level</a:t>
          </a:r>
          <a:endParaRPr lang="en-US" sz="1000" b="0">
            <a:latin typeface="Gill Sans MT"/>
            <a:cs typeface="Gill Sans M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7D62-7295-4472-9BD1-7E2F4214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43</Pages>
  <Words>12509</Words>
  <Characters>76420</Characters>
  <Application>Microsoft Office Word</Application>
  <DocSecurity>0</DocSecurity>
  <Lines>636</Lines>
  <Paragraphs>177</Paragraphs>
  <ScaleCrop>false</ScaleCrop>
  <HeadingPairs>
    <vt:vector size="2" baseType="variant">
      <vt:variant>
        <vt:lpstr>Title</vt:lpstr>
      </vt:variant>
      <vt:variant>
        <vt:i4>1</vt:i4>
      </vt:variant>
    </vt:vector>
  </HeadingPairs>
  <TitlesOfParts>
    <vt:vector size="1" baseType="lpstr">
      <vt:lpstr>Ten Years of Language Access in Washington, DC</vt:lpstr>
    </vt:vector>
  </TitlesOfParts>
  <Company>The Urban Institute</Company>
  <LinksUpToDate>false</LinksUpToDate>
  <CharactersWithSpaces>88752</CharactersWithSpaces>
  <SharedDoc>false</SharedDoc>
  <HyperlinkBase/>
  <HLinks>
    <vt:vector size="108" baseType="variant">
      <vt:variant>
        <vt:i4>1572954</vt:i4>
      </vt:variant>
      <vt:variant>
        <vt:i4>189</vt:i4>
      </vt:variant>
      <vt:variant>
        <vt:i4>0</vt:i4>
      </vt:variant>
      <vt:variant>
        <vt:i4>5</vt:i4>
      </vt:variant>
      <vt:variant>
        <vt:lpwstr>http://www.lep.gov/resources/081511_Language_Access_CAQ_TA_Guidance.pdf</vt:lpwstr>
      </vt:variant>
      <vt:variant>
        <vt:lpwstr/>
      </vt:variant>
      <vt:variant>
        <vt:i4>7471111</vt:i4>
      </vt:variant>
      <vt:variant>
        <vt:i4>186</vt:i4>
      </vt:variant>
      <vt:variant>
        <vt:i4>0</vt:i4>
      </vt:variant>
      <vt:variant>
        <vt:i4>5</vt:i4>
      </vt:variant>
      <vt:variant>
        <vt:lpwstr>https://www.census.gov/acs/www/Downloads/survey_methodology/acs_design_methodology.pdf</vt:lpwstr>
      </vt:variant>
      <vt:variant>
        <vt:lpwstr/>
      </vt:variant>
      <vt:variant>
        <vt:i4>2490388</vt:i4>
      </vt:variant>
      <vt:variant>
        <vt:i4>183</vt:i4>
      </vt:variant>
      <vt:variant>
        <vt:i4>0</vt:i4>
      </vt:variant>
      <vt:variant>
        <vt:i4>5</vt:i4>
      </vt:variant>
      <vt:variant>
        <vt:lpwstr>http://www.brookings.edu/research/articles/2013/04/washington-dc-immigration-singer</vt:lpwstr>
      </vt:variant>
      <vt:variant>
        <vt:lpwstr/>
      </vt:variant>
      <vt:variant>
        <vt:i4>5177364</vt:i4>
      </vt:variant>
      <vt:variant>
        <vt:i4>180</vt:i4>
      </vt:variant>
      <vt:variant>
        <vt:i4>0</vt:i4>
      </vt:variant>
      <vt:variant>
        <vt:i4>5</vt:i4>
      </vt:variant>
      <vt:variant>
        <vt:lpwstr>http://www.census.gov/hhes/socdemo/language/data/census/li-final.pdf</vt:lpwstr>
      </vt:variant>
      <vt:variant>
        <vt:lpwstr/>
      </vt:variant>
      <vt:variant>
        <vt:i4>8060989</vt:i4>
      </vt:variant>
      <vt:variant>
        <vt:i4>177</vt:i4>
      </vt:variant>
      <vt:variant>
        <vt:i4>0</vt:i4>
      </vt:variant>
      <vt:variant>
        <vt:i4>5</vt:i4>
      </vt:variant>
      <vt:variant>
        <vt:lpwstr>https://www.census.gov/2010census/pdf/2010_Census_Enumeration_Non-English_Speaking_Households.pdf</vt:lpwstr>
      </vt:variant>
      <vt:variant>
        <vt:lpwstr/>
      </vt:variant>
      <vt:variant>
        <vt:i4>131080</vt:i4>
      </vt:variant>
      <vt:variant>
        <vt:i4>174</vt:i4>
      </vt:variant>
      <vt:variant>
        <vt:i4>0</vt:i4>
      </vt:variant>
      <vt:variant>
        <vt:i4>5</vt:i4>
      </vt:variant>
      <vt:variant>
        <vt:lpwstr>http://www.nyc.gov/html/imm/downloads/pdf/Blueprints/BII-Language-Access.pdf</vt:lpwstr>
      </vt:variant>
      <vt:variant>
        <vt:lpwstr/>
      </vt:variant>
      <vt:variant>
        <vt:i4>4194376</vt:i4>
      </vt:variant>
      <vt:variant>
        <vt:i4>171</vt:i4>
      </vt:variant>
      <vt:variant>
        <vt:i4>0</vt:i4>
      </vt:variant>
      <vt:variant>
        <vt:i4>5</vt:i4>
      </vt:variant>
      <vt:variant>
        <vt:lpwstr>http://www.migrationpolicy.org/research/working-assessment-and-evaluation-methods-used-build-and-access-language-services-social</vt:lpwstr>
      </vt:variant>
      <vt:variant>
        <vt:lpwstr/>
      </vt:variant>
      <vt:variant>
        <vt:i4>5570638</vt:i4>
      </vt:variant>
      <vt:variant>
        <vt:i4>168</vt:i4>
      </vt:variant>
      <vt:variant>
        <vt:i4>0</vt:i4>
      </vt:variant>
      <vt:variant>
        <vt:i4>5</vt:i4>
      </vt:variant>
      <vt:variant>
        <vt:lpwstr>http://www.fiscalpolicy.org/immigrant-small-business-owners-FPI-20120614.pdf</vt:lpwstr>
      </vt:variant>
      <vt:variant>
        <vt:lpwstr/>
      </vt:variant>
      <vt:variant>
        <vt:i4>458875</vt:i4>
      </vt:variant>
      <vt:variant>
        <vt:i4>165</vt:i4>
      </vt:variant>
      <vt:variant>
        <vt:i4>0</vt:i4>
      </vt:variant>
      <vt:variant>
        <vt:i4>5</vt:i4>
      </vt:variant>
      <vt:variant>
        <vt:lpwstr>http://www.dhs.gov/xlibrary/assets/statistics/publications/ois_ill_pe_2010.pdf</vt:lpwstr>
      </vt:variant>
      <vt:variant>
        <vt:lpwstr/>
      </vt:variant>
      <vt:variant>
        <vt:i4>1638481</vt:i4>
      </vt:variant>
      <vt:variant>
        <vt:i4>162</vt:i4>
      </vt:variant>
      <vt:variant>
        <vt:i4>0</vt:i4>
      </vt:variant>
      <vt:variant>
        <vt:i4>5</vt:i4>
      </vt:variant>
      <vt:variant>
        <vt:lpwstr>https://www.census.gov/cac/race_ethnic_advisory_committees/docs/2005_April_acs-noninterview-rates.pdf</vt:lpwstr>
      </vt:variant>
      <vt:variant>
        <vt:lpwstr/>
      </vt:variant>
      <vt:variant>
        <vt:i4>5701666</vt:i4>
      </vt:variant>
      <vt:variant>
        <vt:i4>159</vt:i4>
      </vt:variant>
      <vt:variant>
        <vt:i4>0</vt:i4>
      </vt:variant>
      <vt:variant>
        <vt:i4>5</vt:i4>
      </vt:variant>
      <vt:variant>
        <vt:lpwstr>http://www.urban.org/publications/411338.html</vt:lpwstr>
      </vt:variant>
      <vt:variant>
        <vt:lpwstr/>
      </vt:variant>
      <vt:variant>
        <vt:i4>7077894</vt:i4>
      </vt:variant>
      <vt:variant>
        <vt:i4>156</vt:i4>
      </vt:variant>
      <vt:variant>
        <vt:i4>0</vt:i4>
      </vt:variant>
      <vt:variant>
        <vt:i4>5</vt:i4>
      </vt:variant>
      <vt:variant>
        <vt:lpwstr>http://www.wcl.american.edu/news/documents/AccessDenied.pdf</vt:lpwstr>
      </vt:variant>
      <vt:variant>
        <vt:lpwstr/>
      </vt:variant>
      <vt:variant>
        <vt:i4>4587611</vt:i4>
      </vt:variant>
      <vt:variant>
        <vt:i4>153</vt:i4>
      </vt:variant>
      <vt:variant>
        <vt:i4>0</vt:i4>
      </vt:variant>
      <vt:variant>
        <vt:i4>5</vt:i4>
      </vt:variant>
      <vt:variant>
        <vt:lpwstr>http://www.montgomerycountymd.gov/lep/documents.html</vt:lpwstr>
      </vt:variant>
      <vt:variant>
        <vt:lpwstr/>
      </vt:variant>
      <vt:variant>
        <vt:i4>8060935</vt:i4>
      </vt:variant>
      <vt:variant>
        <vt:i4>150</vt:i4>
      </vt:variant>
      <vt:variant>
        <vt:i4>0</vt:i4>
      </vt:variant>
      <vt:variant>
        <vt:i4>5</vt:i4>
      </vt:variant>
      <vt:variant>
        <vt:lpwstr>http://www2.oaklandnet.com/oakca1/groups/hrm/documents/report/oak045044.pdf</vt:lpwstr>
      </vt:variant>
      <vt:variant>
        <vt:lpwstr/>
      </vt:variant>
      <vt:variant>
        <vt:i4>4784164</vt:i4>
      </vt:variant>
      <vt:variant>
        <vt:i4>147</vt:i4>
      </vt:variant>
      <vt:variant>
        <vt:i4>0</vt:i4>
      </vt:variant>
      <vt:variant>
        <vt:i4>5</vt:i4>
      </vt:variant>
      <vt:variant>
        <vt:lpwstr>http://www.arlingtonva.us/departments/CountyManager/HumanRights/Limited English Proficiency Policy Implementation.pdf</vt:lpwstr>
      </vt:variant>
      <vt:variant>
        <vt:lpwstr/>
      </vt:variant>
      <vt:variant>
        <vt:i4>6357033</vt:i4>
      </vt:variant>
      <vt:variant>
        <vt:i4>114</vt:i4>
      </vt:variant>
      <vt:variant>
        <vt:i4>0</vt:i4>
      </vt:variant>
      <vt:variant>
        <vt:i4>5</vt:i4>
      </vt:variant>
      <vt:variant>
        <vt:lpwstr>http://does.dc.gov/node/184892</vt:lpwstr>
      </vt:variant>
      <vt:variant>
        <vt:lpwstr/>
      </vt:variant>
      <vt:variant>
        <vt:i4>3538974</vt:i4>
      </vt:variant>
      <vt:variant>
        <vt:i4>3</vt:i4>
      </vt:variant>
      <vt:variant>
        <vt:i4>0</vt:i4>
      </vt:variant>
      <vt:variant>
        <vt:i4>5</vt:i4>
      </vt:variant>
      <vt:variant>
        <vt:lpwstr>http://www.migrationpolicy.org/programs/language-access-translation-and-interpretation-policies-and-practices/practitioners-corner-more</vt:lpwstr>
      </vt:variant>
      <vt:variant>
        <vt:lpwstr/>
      </vt:variant>
      <vt:variant>
        <vt:i4>3538974</vt:i4>
      </vt:variant>
      <vt:variant>
        <vt:i4>0</vt:i4>
      </vt:variant>
      <vt:variant>
        <vt:i4>0</vt:i4>
      </vt:variant>
      <vt:variant>
        <vt:i4>5</vt:i4>
      </vt:variant>
      <vt:variant>
        <vt:lpwstr>http://www.migrationpolicy.org/programs/language-access-translation-and-interpretation-policies-and-practices/practitioners-corner-more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Years of Language Access in Washington, DC</dc:title>
  <dc:creator>Bernstein, Hamutal</dc:creator>
  <cp:lastModifiedBy>Fiona Blackshaw</cp:lastModifiedBy>
  <cp:revision>9</cp:revision>
  <cp:lastPrinted>2014-04-08T22:19:00Z</cp:lastPrinted>
  <dcterms:created xsi:type="dcterms:W3CDTF">2014-04-08T18:15:00Z</dcterms:created>
  <dcterms:modified xsi:type="dcterms:W3CDTF">2014-04-08T22:20:00Z</dcterms:modified>
</cp:coreProperties>
</file>